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313112</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21</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general aspects on RRM core requirements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8.7.3.1</w:t>
      </w:r>
      <w:bookmarkStart w:id="1" w:name="_GoBack"/>
      <w:bookmarkEnd w:id="1"/>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recent RAN plenary 100 meeting, a revised WID[1] for Rel-18 was approved </w:t>
      </w:r>
      <w:r>
        <w:rPr>
          <w:rFonts w:hint="eastAsia"/>
          <w:lang w:val="en-US" w:eastAsia="zh-CN"/>
        </w:rPr>
        <w:t xml:space="preserve">to further clarify the scope of the </w:t>
      </w:r>
      <w:r>
        <w:rPr>
          <w:lang w:val="en-US"/>
        </w:rPr>
        <w:t xml:space="preserve"> simultaneous DL reception from different directions with different QCL TypeD RSs on a single component carrier</w:t>
      </w:r>
      <w:r>
        <w:rPr>
          <w:rFonts w:hint="eastAsia" w:eastAsia="宋体"/>
          <w:lang w:val="en-US" w:eastAsia="zh-CN"/>
        </w:rPr>
        <w:t>. The main update is to remove the NOTEs related with L3 measurement delay. The objective in the revised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spacing w:after="0"/>
              <w:rPr>
                <w:lang w:val="en-US"/>
              </w:rPr>
            </w:pPr>
            <w:r>
              <w:rPr>
                <w:lang w:val="en-US"/>
              </w:rPr>
              <w:t>Introduce necessary requirement(s) for enhanced FR2-1 UEs with simultaneous DL reception with two different QCL TypeD RSs on single component carrier with up to 4 layer DL MIMO</w:t>
            </w:r>
          </w:p>
          <w:p>
            <w:pPr>
              <w:numPr>
                <w:ilvl w:val="1"/>
                <w:numId w:val="5"/>
              </w:numPr>
              <w:spacing w:after="0"/>
              <w:rPr>
                <w:lang w:val="en-US"/>
              </w:rPr>
            </w:pPr>
            <w:r>
              <w:rPr>
                <w:rFonts w:hint="eastAsia"/>
                <w:lang w:val="en-US"/>
              </w:rPr>
              <w:t>Enhanced RF requirements:</w:t>
            </w:r>
          </w:p>
          <w:p>
            <w:pPr>
              <w:numPr>
                <w:ilvl w:val="2"/>
                <w:numId w:val="5"/>
              </w:numPr>
              <w:spacing w:after="0"/>
              <w:rPr>
                <w:lang w:val="en-US"/>
              </w:rPr>
            </w:pPr>
            <w:r>
              <w:rPr>
                <w:lang w:val="en-US"/>
              </w:rPr>
              <w:t>Specify RF requirements, mainly spherical coverage requirements, for devices with simultaneous reception from different directions with different QCL TypeD RSs</w:t>
            </w:r>
            <w:bookmarkStart w:id="0" w:name="_Hlk104922953"/>
          </w:p>
          <w:bookmarkEnd w:id="0"/>
          <w:p>
            <w:pPr>
              <w:numPr>
                <w:ilvl w:val="2"/>
                <w:numId w:val="5"/>
              </w:numPr>
              <w:spacing w:after="0"/>
              <w:rPr>
                <w:lang w:val="en-US"/>
              </w:rPr>
            </w:pPr>
            <w:r>
              <w:rPr>
                <w:lang w:val="en-US"/>
              </w:rPr>
              <w:t>The legacy spherical coverage requirement for reception from a single direction will be kept</w:t>
            </w:r>
          </w:p>
          <w:p>
            <w:pPr>
              <w:numPr>
                <w:ilvl w:val="2"/>
                <w:numId w:val="5"/>
              </w:numPr>
              <w:spacing w:after="0"/>
              <w:rPr>
                <w:lang w:val="en-US"/>
              </w:rPr>
            </w:pPr>
            <w:r>
              <w:rPr>
                <w:lang w:val="en-US"/>
              </w:rPr>
              <w:t>PC3 will be prioritized, other power classes should be considered after the PC3 requirements framework is finalized</w:t>
            </w:r>
          </w:p>
          <w:p>
            <w:pPr>
              <w:numPr>
                <w:ilvl w:val="0"/>
                <w:numId w:val="5"/>
              </w:numPr>
              <w:spacing w:after="0"/>
              <w:rPr>
                <w:lang w:val="en-US"/>
              </w:rPr>
            </w:pPr>
            <w:r>
              <w:rPr>
                <w:lang w:val="en-US"/>
              </w:rPr>
              <w:t>Introduce necessary requirement(s) for enhanced FR2-1 UEs with simultaneous DL reception from different directions with different QCL TypeD RSs on a single component carrier</w:t>
            </w:r>
          </w:p>
          <w:p>
            <w:pPr>
              <w:numPr>
                <w:ilvl w:val="1"/>
                <w:numId w:val="5"/>
              </w:numPr>
              <w:spacing w:after="0"/>
              <w:rPr>
                <w:lang w:val="en-US"/>
              </w:rPr>
            </w:pPr>
            <w:r>
              <w:rPr>
                <w:rFonts w:hint="eastAsia"/>
                <w:lang w:val="en-US"/>
              </w:rPr>
              <w:t>Enhanced R</w:t>
            </w:r>
            <w:r>
              <w:rPr>
                <w:lang w:val="en-US"/>
              </w:rPr>
              <w:t>RM</w:t>
            </w:r>
            <w:r>
              <w:rPr>
                <w:rFonts w:hint="eastAsia"/>
                <w:lang w:val="en-US"/>
              </w:rPr>
              <w:t xml:space="preserve"> requirements:</w:t>
            </w:r>
          </w:p>
          <w:p>
            <w:pPr>
              <w:numPr>
                <w:ilvl w:val="2"/>
                <w:numId w:val="5"/>
              </w:numPr>
              <w:spacing w:after="0"/>
              <w:rPr>
                <w:lang w:val="en-US"/>
              </w:rPr>
            </w:pPr>
            <w:r>
              <w:rPr>
                <w:rFonts w:hint="eastAsia"/>
                <w:lang w:val="en-US" w:eastAsia="ja-JP"/>
              </w:rPr>
              <w:t>T</w:t>
            </w:r>
            <w:r>
              <w:rPr>
                <w:lang w:val="en-US" w:eastAsia="ja-JP"/>
              </w:rPr>
              <w:t>he following requirements should be studied and specified if necessary:</w:t>
            </w:r>
          </w:p>
          <w:p>
            <w:pPr>
              <w:numPr>
                <w:ilvl w:val="3"/>
                <w:numId w:val="5"/>
              </w:numPr>
              <w:spacing w:after="0"/>
              <w:rPr>
                <w:lang w:val="en-US"/>
              </w:rPr>
            </w:pPr>
            <w:r>
              <w:rPr>
                <w:lang w:val="en-US"/>
              </w:rPr>
              <w:t>L1-RSRP measurement delay</w:t>
            </w:r>
          </w:p>
          <w:p>
            <w:pPr>
              <w:numPr>
                <w:ilvl w:val="3"/>
                <w:numId w:val="5"/>
              </w:numPr>
              <w:spacing w:after="0"/>
              <w:rPr>
                <w:lang w:val="en-US"/>
              </w:rPr>
            </w:pPr>
            <w:r>
              <w:rPr>
                <w:lang w:val="en-US"/>
              </w:rPr>
              <w:t>RLM and BFD/CBD requirements</w:t>
            </w:r>
          </w:p>
          <w:p>
            <w:pPr>
              <w:numPr>
                <w:ilvl w:val="3"/>
                <w:numId w:val="5"/>
              </w:numPr>
              <w:spacing w:after="0"/>
              <w:rPr>
                <w:lang w:val="en-US"/>
              </w:rPr>
            </w:pPr>
            <w:r>
              <w:rPr>
                <w:lang w:val="en-US"/>
              </w:rPr>
              <w:t>Scheduling/measurement restrictions</w:t>
            </w:r>
          </w:p>
          <w:p>
            <w:pPr>
              <w:numPr>
                <w:ilvl w:val="3"/>
                <w:numId w:val="5"/>
              </w:numPr>
              <w:spacing w:after="0"/>
              <w:rPr>
                <w:lang w:val="en-US"/>
              </w:rPr>
            </w:pPr>
            <w:r>
              <w:rPr>
                <w:lang w:val="en-US"/>
              </w:rPr>
              <w:t>TCI state switching delay with dual TCI</w:t>
            </w:r>
          </w:p>
          <w:p>
            <w:pPr>
              <w:numPr>
                <w:ilvl w:val="3"/>
                <w:numId w:val="5"/>
              </w:numPr>
              <w:spacing w:after="0"/>
              <w:rPr>
                <w:bCs/>
              </w:rPr>
            </w:pPr>
            <w:r>
              <w:rPr>
                <w:lang w:val="en-US"/>
              </w:rPr>
              <w:t>Receive timing difference between different directions (different QCL Type D RSs)</w:t>
            </w:r>
          </w:p>
          <w:p>
            <w:pPr>
              <w:spacing w:after="0"/>
              <w:rPr>
                <w:bCs/>
                <w:lang w:eastAsia="ja-JP"/>
              </w:rPr>
            </w:pPr>
            <w:r>
              <w:rPr>
                <w:rFonts w:hint="eastAsia"/>
                <w:bCs/>
                <w:lang w:eastAsia="ja-JP"/>
              </w:rPr>
              <w:t>N</w:t>
            </w:r>
            <w:r>
              <w:rPr>
                <w:bCs/>
                <w:lang w:eastAsia="ja-JP"/>
              </w:rPr>
              <w:t>OTEs:</w:t>
            </w:r>
          </w:p>
          <w:p>
            <w:pPr>
              <w:numPr>
                <w:ilvl w:val="1"/>
                <w:numId w:val="5"/>
              </w:numPr>
              <w:spacing w:after="0"/>
              <w:rPr>
                <w:rFonts w:hint="eastAsia" w:eastAsia="宋体"/>
                <w:vertAlign w:val="baseline"/>
                <w:lang w:val="en-US" w:eastAsia="zh-CN"/>
              </w:rPr>
            </w:pPr>
            <w:r>
              <w:rPr>
                <w:rFonts w:hint="eastAsia"/>
                <w:lang w:val="en-US"/>
              </w:rPr>
              <w:t>T</w:t>
            </w:r>
            <w:r>
              <w:rPr>
                <w:lang w:val="en-US"/>
              </w:rPr>
              <w:t>he case of single TCI is handled as a second priority. Additional aspects related to single TCI can be further revisited.</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last RAN4 meeting, RAN4 has spread extensive discussion around the scope, scenarios and capabilities of simultaneous multi-panel/multi-beam reception and some agreements were achieved in [2].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numPr>
                <w:ilvl w:val="0"/>
                <w:numId w:val="0"/>
              </w:numPr>
              <w:ind w:leftChars="0"/>
              <w:rPr>
                <w:sz w:val="24"/>
                <w:szCs w:val="24"/>
              </w:rPr>
            </w:pPr>
            <w:r>
              <w:rPr>
                <w:sz w:val="24"/>
                <w:szCs w:val="24"/>
              </w:rPr>
              <w:t>Sub-topic 1-2: RRM requirements impact</w:t>
            </w:r>
          </w:p>
          <w:p>
            <w:pPr>
              <w:outlineLvl w:val="2"/>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1-2-1: Definition of “simultaneous reception”</w:t>
            </w:r>
          </w:p>
          <w:p>
            <w:pPr>
              <w:spacing w:after="120" w:afterLines="50"/>
              <w:rPr>
                <w:b/>
                <w:bCs/>
                <w:color w:val="0070C0"/>
                <w:szCs w:val="24"/>
                <w:lang w:eastAsia="zh-CN"/>
              </w:rPr>
            </w:pPr>
            <w:r>
              <w:rPr>
                <w:b/>
                <w:bCs/>
                <w:color w:val="0070C0"/>
                <w:szCs w:val="24"/>
                <w:lang w:eastAsia="zh-CN"/>
              </w:rPr>
              <w:t>&lt;</w:t>
            </w:r>
            <w:r>
              <w:rPr>
                <w:rFonts w:hint="eastAsia"/>
                <w:b/>
                <w:bCs/>
                <w:color w:val="0070C0"/>
                <w:szCs w:val="24"/>
                <w:lang w:eastAsia="zh-CN"/>
              </w:rPr>
              <w:t>A</w:t>
            </w:r>
            <w:r>
              <w:rPr>
                <w:b/>
                <w:bCs/>
                <w:color w:val="0070C0"/>
                <w:szCs w:val="24"/>
                <w:lang w:eastAsia="zh-CN"/>
              </w:rPr>
              <w:t>greement &gt;:</w:t>
            </w:r>
          </w:p>
          <w:p>
            <w:pPr>
              <w:pStyle w:val="28"/>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No need to discuss definition of ‘simultaneous reception’. The condition can be discussed during CR phase.</w:t>
            </w:r>
          </w:p>
          <w:p>
            <w:pPr>
              <w:outlineLvl w:val="2"/>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1-2-3: Beam management related</w:t>
            </w:r>
          </w:p>
          <w:p>
            <w:pPr>
              <w:spacing w:after="120" w:afterLines="50"/>
              <w:rPr>
                <w:b/>
                <w:bCs/>
                <w:color w:val="0070C0"/>
                <w:szCs w:val="24"/>
                <w:lang w:eastAsia="zh-CN"/>
              </w:rPr>
            </w:pPr>
            <w:r>
              <w:rPr>
                <w:b/>
                <w:bCs/>
                <w:color w:val="0070C0"/>
                <w:szCs w:val="24"/>
                <w:lang w:eastAsia="zh-CN"/>
              </w:rPr>
              <w:t>&lt;Agreement &gt;:</w:t>
            </w:r>
          </w:p>
          <w:p>
            <w:pPr>
              <w:pStyle w:val="28"/>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Not to use the principle of independent beam management to define the requirement for R18 multi-Rx chains WI. Instead, RAN4 to directly discuss individual detailed requirements.</w:t>
            </w:r>
          </w:p>
          <w:p>
            <w:pPr>
              <w:outlineLvl w:val="2"/>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1-2-7a: RRM impact of group-based beam reporting for simultaneous reception</w:t>
            </w:r>
          </w:p>
          <w:p>
            <w:pPr>
              <w:spacing w:after="120" w:afterLines="50"/>
              <w:rPr>
                <w:b/>
                <w:bCs/>
                <w:color w:val="0070C0"/>
                <w:szCs w:val="24"/>
                <w:lang w:eastAsia="zh-CN"/>
              </w:rPr>
            </w:pPr>
            <w:r>
              <w:rPr>
                <w:b/>
                <w:bCs/>
                <w:color w:val="0070C0"/>
                <w:szCs w:val="24"/>
                <w:lang w:eastAsia="zh-CN"/>
              </w:rPr>
              <w:t>&lt;Agreement &gt;:</w:t>
            </w:r>
          </w:p>
          <w:p>
            <w:pPr>
              <w:pStyle w:val="28"/>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The requirements for GBBR are discussed under L1-RSRP enhancement.</w:t>
            </w:r>
          </w:p>
          <w:p>
            <w:pPr>
              <w:pStyle w:val="3"/>
              <w:numPr>
                <w:ilvl w:val="0"/>
                <w:numId w:val="0"/>
              </w:numPr>
              <w:ind w:leftChars="0"/>
              <w:rPr>
                <w:sz w:val="24"/>
                <w:szCs w:val="24"/>
              </w:rPr>
            </w:pPr>
            <w:r>
              <w:rPr>
                <w:sz w:val="24"/>
                <w:szCs w:val="24"/>
              </w:rPr>
              <w:t>Sub-topic 1-3: Applicability and conditions</w:t>
            </w:r>
          </w:p>
          <w:p>
            <w:pPr>
              <w:outlineLvl w:val="2"/>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1-3-1: Applicability of new requirements to different QCL types</w:t>
            </w:r>
          </w:p>
          <w:p>
            <w:pPr>
              <w:spacing w:after="120" w:afterLines="50"/>
              <w:rPr>
                <w:b/>
                <w:bCs/>
                <w:color w:val="0070C0"/>
                <w:szCs w:val="24"/>
                <w:lang w:eastAsia="zh-CN"/>
              </w:rPr>
            </w:pPr>
            <w:r>
              <w:rPr>
                <w:b/>
                <w:bCs/>
                <w:color w:val="0070C0"/>
                <w:szCs w:val="24"/>
                <w:lang w:eastAsia="zh-CN"/>
              </w:rPr>
              <w:t>&lt;Agreement &gt;:</w:t>
            </w:r>
          </w:p>
          <w:p>
            <w:pPr>
              <w:pStyle w:val="28"/>
              <w:numPr>
                <w:ilvl w:val="0"/>
                <w:numId w:val="3"/>
              </w:numPr>
              <w:overflowPunct/>
              <w:autoSpaceDE/>
              <w:autoSpaceDN/>
              <w:adjustRightInd/>
              <w:spacing w:after="120"/>
              <w:ind w:left="720" w:firstLineChars="0"/>
              <w:textAlignment w:val="auto"/>
              <w:rPr>
                <w:rFonts w:hint="default" w:ascii="Times New Roman" w:hAnsi="Times New Roman" w:eastAsia="Times New Roman" w:cs="Times New Roman"/>
                <w:bCs/>
                <w:kern w:val="0"/>
                <w:sz w:val="20"/>
                <w:szCs w:val="24"/>
                <w:lang w:val="en-US" w:eastAsia="zh-CN" w:bidi="ar-SA"/>
              </w:rPr>
            </w:pPr>
            <w:r>
              <w:rPr>
                <w:rFonts w:eastAsia="宋体"/>
                <w:color w:val="000000" w:themeColor="text1"/>
                <w:szCs w:val="24"/>
                <w:lang w:eastAsia="zh-CN"/>
                <w14:textFill>
                  <w14:solidFill>
                    <w14:schemeClr w14:val="tx1"/>
                  </w14:solidFill>
                </w14:textFill>
              </w:rPr>
              <w:t>Scenarios where QCL type D is configured in combination with QCL type A/C are not precluded in the requirements for multi-rx operation.</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this document, we provide our further analysis focus on the remaining general and scope issues around simultaneous multi-panel reception.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 xml:space="preserve">2.1 Scenarios </w:t>
      </w:r>
      <w:r>
        <w:rPr>
          <w:rFonts w:hint="eastAsia" w:eastAsia="宋体" w:cs="Times New Roman"/>
          <w:b/>
          <w:bCs/>
          <w:iCs w:val="0"/>
          <w:color w:val="auto"/>
          <w:kern w:val="32"/>
          <w:sz w:val="28"/>
          <w:szCs w:val="32"/>
          <w:lang w:val="en-US" w:eastAsia="zh-CN" w:bidi="ar-SA"/>
        </w:rPr>
        <w:t>of</w:t>
      </w:r>
      <w:r>
        <w:rPr>
          <w:rFonts w:hint="eastAsia" w:ascii="Helvetica" w:hAnsi="Helvetica" w:eastAsia="宋体" w:cs="Times New Roman"/>
          <w:b/>
          <w:bCs/>
          <w:iCs w:val="0"/>
          <w:color w:val="auto"/>
          <w:kern w:val="32"/>
          <w:sz w:val="28"/>
          <w:szCs w:val="32"/>
          <w:lang w:val="en-US" w:eastAsia="zh-CN" w:bidi="ar-SA"/>
        </w:rPr>
        <w:t xml:space="preserve"> this WI</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consensus achieved in last meeting, no need to discuss the scope of the WI any more, just directly discuss the requirements for the objectives of the WI directly. Furthermore, it is already approved that not introduce any requirements for inter-cell mTRP in R18. So until now, the scenario of this WI is more clear and mainly targeted on the intra-cell mTRP deployment.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While regarding to the inter-cell mTRP case, even though the 4 layer MIMO is not considered under this case since of the lack of ideal backhaul between the inter-cell mTRPs, other enhancement related to measurement due to multi-panel simultaneous Rx still can be considered. Nevertheless, since of the majority prefer only focus on intra-cell mTRP, so it is approved that not any requirements would be introduced for inter-cell mTRP in R18. One essential point is that the group-based report is not supported in inter-cell mTRP from RAN1 side. To our understand, to take full advantage of multi-panel Rx, even not introduce any new requirements or requirements enhancement, applying simultaneous simultaneous multi-panel Rx into the inter-cell BM, which is beneficial.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Inter-cell BM has been discussed during R17 FeMIMO. Since of the baseline assumption is that UE can only apply a single panel to receive DL signal, so the following agreements were achieved: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eastAsiaTheme="minorEastAsia"/>
                <w:lang w:val="en-US" w:eastAsia="zh-CN"/>
              </w:rPr>
            </w:pPr>
            <w:r>
              <w:rPr>
                <w:rFonts w:eastAsiaTheme="minorEastAsia"/>
                <w:b w:val="0"/>
                <w:bCs w:val="0"/>
                <w:lang w:eastAsia="zh-CN"/>
              </w:rPr>
              <w:t>For FR1</w:t>
            </w:r>
            <w:r>
              <w:rPr>
                <w:rFonts w:hint="eastAsia" w:eastAsiaTheme="minorEastAsia"/>
                <w:b w:val="0"/>
                <w:bCs w:val="0"/>
                <w:lang w:val="en-US" w:eastAsia="zh-CN"/>
              </w:rPr>
              <w:t>:</w:t>
            </w:r>
          </w:p>
          <w:p>
            <w:pPr>
              <w:pStyle w:val="28"/>
              <w:keepNext w:val="0"/>
              <w:keepLines w:val="0"/>
              <w:pageBreakBefore w:val="0"/>
              <w:widowControl w:val="0"/>
              <w:numPr>
                <w:ilvl w:val="0"/>
                <w:numId w:val="3"/>
              </w:numPr>
              <w:kinsoku/>
              <w:wordWrap/>
              <w:overflowPunct/>
              <w:topLinePunct w:val="0"/>
              <w:autoSpaceDE/>
              <w:autoSpaceDN/>
              <w:bidi w:val="0"/>
              <w:adjustRightInd/>
              <w:snapToGrid/>
              <w:ind w:left="936" w:leftChars="0" w:hanging="363" w:firstLineChars="0"/>
              <w:textAlignment w:val="auto"/>
              <w:rPr>
                <w:rFonts w:eastAsiaTheme="minorEastAsia"/>
                <w:lang w:eastAsia="zh-CN"/>
              </w:rPr>
            </w:pPr>
            <w:r>
              <w:rPr>
                <w:lang w:eastAsia="zh-CN"/>
              </w:rPr>
              <w:t>L1-RSRP for SC and cell with different PCI can be both measured inside SMTC</w:t>
            </w:r>
            <w:r>
              <w:t xml:space="preserve"> </w:t>
            </w:r>
            <w:r>
              <w:rPr>
                <w:lang w:eastAsia="zh-CN"/>
              </w:rPr>
              <w:t>and can be performed simultaneously; and L1 and L3 measurement on cell with different PCI can be performed simultaneously.</w:t>
            </w:r>
          </w:p>
          <w:p>
            <w:pPr>
              <w:pStyle w:val="28"/>
              <w:keepNext w:val="0"/>
              <w:keepLines w:val="0"/>
              <w:pageBreakBefore w:val="0"/>
              <w:widowControl w:val="0"/>
              <w:numPr>
                <w:ilvl w:val="0"/>
                <w:numId w:val="3"/>
              </w:numPr>
              <w:kinsoku/>
              <w:wordWrap/>
              <w:overflowPunct/>
              <w:topLinePunct w:val="0"/>
              <w:autoSpaceDE/>
              <w:autoSpaceDN/>
              <w:bidi w:val="0"/>
              <w:adjustRightInd/>
              <w:snapToGrid/>
              <w:ind w:left="936" w:leftChars="0" w:hanging="363" w:firstLineChars="0"/>
              <w:textAlignment w:val="auto"/>
              <w:rPr>
                <w:rFonts w:eastAsiaTheme="minorEastAsia"/>
                <w:lang w:eastAsia="zh-CN"/>
              </w:rPr>
            </w:pPr>
          </w:p>
          <w:p>
            <w:pPr>
              <w:pStyle w:val="28"/>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eastAsiaTheme="minorEastAsia"/>
                <w:lang w:val="en-US" w:eastAsia="zh-CN"/>
              </w:rPr>
            </w:pPr>
            <w:r>
              <w:rPr>
                <w:rFonts w:eastAsiaTheme="minorEastAsia"/>
                <w:b w:val="0"/>
                <w:bCs w:val="0"/>
                <w:lang w:eastAsia="zh-CN"/>
              </w:rPr>
              <w:t>For FR</w:t>
            </w:r>
            <w:r>
              <w:rPr>
                <w:rFonts w:hint="eastAsia" w:eastAsiaTheme="minorEastAsia"/>
                <w:b w:val="0"/>
                <w:bCs w:val="0"/>
                <w:lang w:val="en-US" w:eastAsia="zh-CN"/>
              </w:rPr>
              <w:t>2:</w:t>
            </w:r>
          </w:p>
          <w:p>
            <w:pPr>
              <w:pStyle w:val="28"/>
              <w:keepNext w:val="0"/>
              <w:keepLines w:val="0"/>
              <w:pageBreakBefore w:val="0"/>
              <w:widowControl w:val="0"/>
              <w:numPr>
                <w:ilvl w:val="0"/>
                <w:numId w:val="3"/>
              </w:numPr>
              <w:kinsoku/>
              <w:wordWrap/>
              <w:overflowPunct/>
              <w:topLinePunct w:val="0"/>
              <w:autoSpaceDE/>
              <w:autoSpaceDN/>
              <w:bidi w:val="0"/>
              <w:adjustRightInd/>
              <w:snapToGrid/>
              <w:ind w:left="936" w:leftChars="0" w:hanging="363" w:firstLineChars="0"/>
              <w:textAlignment w:val="auto"/>
              <w:rPr>
                <w:rFonts w:eastAsiaTheme="minorEastAsia"/>
                <w:lang w:eastAsia="zh-CN"/>
              </w:rPr>
            </w:pPr>
            <w:r>
              <w:rPr>
                <w:rFonts w:hint="eastAsia" w:eastAsiaTheme="minorEastAsia"/>
                <w:b w:val="0"/>
                <w:bCs w:val="0"/>
                <w:lang w:val="en-US" w:eastAsia="zh-CN"/>
              </w:rPr>
              <w:t>Measurement on SC and cell with different PCI CANNOT be performed by the same beam</w:t>
            </w:r>
          </w:p>
          <w:p>
            <w:pPr>
              <w:pStyle w:val="28"/>
              <w:keepNext w:val="0"/>
              <w:keepLines w:val="0"/>
              <w:pageBreakBefore w:val="0"/>
              <w:widowControl w:val="0"/>
              <w:numPr>
                <w:ilvl w:val="0"/>
                <w:numId w:val="3"/>
              </w:numPr>
              <w:kinsoku/>
              <w:wordWrap/>
              <w:overflowPunct/>
              <w:topLinePunct w:val="0"/>
              <w:autoSpaceDE/>
              <w:autoSpaceDN/>
              <w:bidi w:val="0"/>
              <w:adjustRightInd/>
              <w:snapToGrid/>
              <w:ind w:left="936" w:leftChars="0" w:hanging="363" w:firstLineChars="0"/>
              <w:textAlignment w:val="auto"/>
              <w:rPr>
                <w:rFonts w:eastAsiaTheme="minorEastAsia"/>
                <w:lang w:eastAsia="zh-CN"/>
              </w:rPr>
            </w:pPr>
            <w:r>
              <w:rPr>
                <w:rFonts w:eastAsia="等线"/>
                <w:iCs/>
                <w:lang w:val="en-US" w:eastAsia="zh-CN"/>
              </w:rPr>
              <w:t>Do not define requirements for measurement on NSC inside SMTC for FR2 for the case “T</w:t>
            </w:r>
            <w:r>
              <w:rPr>
                <w:rFonts w:eastAsia="等线"/>
                <w:iCs/>
                <w:vertAlign w:val="subscript"/>
                <w:lang w:val="en-US" w:eastAsia="zh-CN"/>
              </w:rPr>
              <w:t>SSB,NSC</w:t>
            </w:r>
            <w:r>
              <w:rPr>
                <w:rFonts w:eastAsia="等线"/>
                <w:iCs/>
                <w:lang w:val="en-US" w:eastAsia="zh-CN"/>
              </w:rPr>
              <w:t xml:space="preserve"> ≥ T</w:t>
            </w:r>
            <w:r>
              <w:rPr>
                <w:rFonts w:eastAsia="等线"/>
                <w:iCs/>
                <w:vertAlign w:val="subscript"/>
                <w:lang w:val="en-US" w:eastAsia="zh-CN"/>
              </w:rPr>
              <w:t>SMTC</w:t>
            </w:r>
            <w:r>
              <w:rPr>
                <w:rFonts w:eastAsia="等线"/>
                <w:iCs/>
                <w:lang w:val="en-US" w:eastAsia="zh-CN"/>
              </w:rPr>
              <w:t>”</w:t>
            </w:r>
          </w:p>
          <w:p>
            <w:pPr>
              <w:pStyle w:val="28"/>
              <w:keepNext w:val="0"/>
              <w:keepLines w:val="0"/>
              <w:pageBreakBefore w:val="0"/>
              <w:widowControl w:val="0"/>
              <w:numPr>
                <w:ilvl w:val="0"/>
                <w:numId w:val="3"/>
              </w:numPr>
              <w:kinsoku/>
              <w:wordWrap/>
              <w:overflowPunct/>
              <w:topLinePunct w:val="0"/>
              <w:autoSpaceDE/>
              <w:autoSpaceDN/>
              <w:bidi w:val="0"/>
              <w:adjustRightInd/>
              <w:snapToGrid/>
              <w:ind w:left="936" w:leftChars="0" w:hanging="363" w:firstLineChars="0"/>
              <w:textAlignment w:val="auto"/>
              <w:rPr>
                <w:rFonts w:hint="eastAsia" w:eastAsiaTheme="minorEastAsia"/>
                <w:b w:val="0"/>
                <w:bCs w:val="0"/>
                <w:lang w:val="en-US" w:eastAsia="zh-CN"/>
              </w:rPr>
            </w:pPr>
            <w:r>
              <w:rPr>
                <w:rFonts w:hint="eastAsia" w:eastAsiaTheme="minorEastAsia"/>
                <w:b w:val="0"/>
                <w:bCs w:val="0"/>
                <w:lang w:val="en-US" w:eastAsia="zh-CN"/>
              </w:rPr>
              <w:t>For FR2, introduce sharing factor for SC and NSC and Nmax =1 (no requirement for Nmax &gt;1)</w:t>
            </w:r>
          </w:p>
          <w:p>
            <w:pPr>
              <w:pStyle w:val="28"/>
              <w:keepNext w:val="0"/>
              <w:keepLines w:val="0"/>
              <w:pageBreakBefore w:val="0"/>
              <w:widowControl w:val="0"/>
              <w:numPr>
                <w:ilvl w:val="0"/>
                <w:numId w:val="3"/>
              </w:numPr>
              <w:kinsoku/>
              <w:wordWrap/>
              <w:overflowPunct/>
              <w:topLinePunct w:val="0"/>
              <w:autoSpaceDE/>
              <w:autoSpaceDN/>
              <w:bidi w:val="0"/>
              <w:adjustRightInd/>
              <w:snapToGrid/>
              <w:ind w:left="936" w:leftChars="0" w:hanging="363" w:firstLineChars="0"/>
              <w:textAlignment w:val="auto"/>
              <w:rPr>
                <w:rFonts w:hint="default" w:eastAsia="宋体"/>
                <w:color w:val="auto"/>
                <w:sz w:val="20"/>
                <w:szCs w:val="20"/>
                <w:vertAlign w:val="baseline"/>
                <w:lang w:val="en-US" w:eastAsia="zh-CN"/>
              </w:rPr>
            </w:pPr>
            <w:r>
              <w:t>there is no need to define measurement restrictions between serving cell SSB configured for L1-RSRP measurements and SSB with different PCI configured for L1-RSRP measurements since sharing factor P</w:t>
            </w:r>
            <w:r>
              <w:rPr>
                <w:vertAlign w:val="subscript"/>
              </w:rPr>
              <w:t>CDP</w:t>
            </w:r>
            <w:r>
              <w:t xml:space="preserve"> is applied for L1-RSRP measurements.</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fact the reason of not allowing simultaneous L1-RSRP measurements for SC and NSC is the concern on Rx beam, for the UE only capable of one panel activated at a time, can only receive signal at one Rx beam direction at the same bandwidth. Now look back such concern, for the UE capable of simultaneous multi-panel Rx, for the 2</w:t>
      </w:r>
      <w:r>
        <w:rPr>
          <w:rFonts w:hint="eastAsia" w:eastAsia="宋体"/>
          <w:color w:val="auto"/>
          <w:sz w:val="20"/>
          <w:szCs w:val="20"/>
          <w:vertAlign w:val="superscript"/>
          <w:lang w:val="en-US" w:eastAsia="zh-CN"/>
        </w:rPr>
        <w:t xml:space="preserve">nd </w:t>
      </w:r>
      <w:r>
        <w:rPr>
          <w:rFonts w:hint="eastAsia" w:eastAsia="宋体"/>
          <w:color w:val="auto"/>
          <w:sz w:val="20"/>
          <w:szCs w:val="20"/>
          <w:lang w:val="en-US" w:eastAsia="zh-CN"/>
        </w:rPr>
        <w:t>and 3</w:t>
      </w:r>
      <w:r>
        <w:rPr>
          <w:rFonts w:hint="eastAsia" w:eastAsia="宋体"/>
          <w:color w:val="auto"/>
          <w:sz w:val="20"/>
          <w:szCs w:val="20"/>
          <w:vertAlign w:val="superscript"/>
          <w:lang w:val="en-US" w:eastAsia="zh-CN"/>
        </w:rPr>
        <w:t>rd</w:t>
      </w:r>
      <w:r>
        <w:rPr>
          <w:rFonts w:hint="eastAsia" w:eastAsia="宋体"/>
          <w:color w:val="auto"/>
          <w:sz w:val="20"/>
          <w:szCs w:val="20"/>
          <w:lang w:val="en-US" w:eastAsia="zh-CN"/>
        </w:rPr>
        <w:t xml:space="preserve"> sub-bullets for FR2 above, the restriction can be relaxed to some extent. </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During the discussion on inter-cell BM in R17 FeMIMO WI, the basic assumption is only one panel activated as a time, so the simultaneous L1-RSRP measurements for SC and NSC is not allowed due to the concern on Rx beam.</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We can firstly discuss the requirements enhancement targeted to intra-cell mTRP. Once some conclusions achieved, then consider the extension into inter-cell mTRP case around the above 2</w:t>
      </w:r>
      <w:r>
        <w:rPr>
          <w:rFonts w:hint="eastAsia" w:eastAsia="宋体"/>
          <w:color w:val="auto"/>
          <w:sz w:val="20"/>
          <w:szCs w:val="20"/>
          <w:vertAlign w:val="superscript"/>
          <w:lang w:val="en-US" w:eastAsia="zh-CN"/>
        </w:rPr>
        <w:t xml:space="preserve">nd </w:t>
      </w:r>
      <w:r>
        <w:rPr>
          <w:rFonts w:hint="eastAsia" w:eastAsia="宋体"/>
          <w:color w:val="auto"/>
          <w:sz w:val="20"/>
          <w:szCs w:val="20"/>
          <w:lang w:val="en-US" w:eastAsia="zh-CN"/>
        </w:rPr>
        <w:t>and 3</w:t>
      </w:r>
      <w:r>
        <w:rPr>
          <w:rFonts w:hint="eastAsia" w:eastAsia="宋体"/>
          <w:color w:val="auto"/>
          <w:sz w:val="20"/>
          <w:szCs w:val="20"/>
          <w:vertAlign w:val="superscript"/>
          <w:lang w:val="en-US" w:eastAsia="zh-CN"/>
        </w:rPr>
        <w:t>rd</w:t>
      </w:r>
      <w:r>
        <w:rPr>
          <w:rFonts w:hint="eastAsia" w:eastAsia="宋体"/>
          <w:color w:val="auto"/>
          <w:sz w:val="20"/>
          <w:szCs w:val="20"/>
          <w:lang w:val="en-US" w:eastAsia="zh-CN"/>
        </w:rPr>
        <w:t xml:space="preserve"> sub-bullets. Which would not slow down the progress of the WI.</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For the UE capable of simultaneous multi-panel Rx, we can firstly discuss the requirements enhancement targeted to intra-cell mTRP case. Once some conclusions achieved, then consider the extension into inter-cell mTRP case around the following issues:</w:t>
      </w:r>
    </w:p>
    <w:p>
      <w:pPr>
        <w:pStyle w:val="8"/>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Whether define the measurement requirements on NSC inside SMTC for FR2 for the case “</w:t>
      </w:r>
      <w:r>
        <w:rPr>
          <w:rFonts w:eastAsia="等线"/>
          <w:b/>
          <w:bCs/>
          <w:iCs/>
          <w:vertAlign w:val="subscript"/>
          <w:lang w:val="en-US" w:eastAsia="zh-CN"/>
        </w:rPr>
        <w:t>SSB,NSC</w:t>
      </w:r>
      <w:r>
        <w:rPr>
          <w:rFonts w:eastAsia="等线"/>
          <w:b/>
          <w:bCs/>
          <w:iCs/>
          <w:lang w:val="en-US" w:eastAsia="zh-CN"/>
        </w:rPr>
        <w:t xml:space="preserve"> ≥ T</w:t>
      </w:r>
      <w:r>
        <w:rPr>
          <w:rFonts w:eastAsia="等线"/>
          <w:b/>
          <w:bCs/>
          <w:iCs/>
          <w:vertAlign w:val="subscript"/>
          <w:lang w:val="en-US" w:eastAsia="zh-CN"/>
        </w:rPr>
        <w:t>SMTC</w:t>
      </w:r>
      <w:r>
        <w:rPr>
          <w:rFonts w:hint="eastAsia" w:eastAsia="宋体" w:cs="Times New Roman"/>
          <w:b/>
          <w:bCs/>
          <w:color w:val="auto"/>
          <w:sz w:val="20"/>
          <w:szCs w:val="20"/>
          <w:highlight w:val="none"/>
          <w:lang w:val="en-US" w:eastAsia="zh-CN" w:bidi="ar-SA"/>
        </w:rPr>
        <w:t>”;</w:t>
      </w:r>
    </w:p>
    <w:p>
      <w:pPr>
        <w:pStyle w:val="8"/>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Whether need the sharing factor for SC and NSC and Nmax =1.</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The Rx beam assumption for simultaneous reception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previous meeting, it is approved that the scenarios for mTRP simultaneous reception can be covered as part of scheduling restrictions/measurement restrictions, L1 measurement and TCI state switching agenda items, so in the general discussion, no need to additional discuss the exact combinations of simultaneous reception. We are fine to this decision, it would speed up the whole discussion. Beside the exact combinations, Rx beam assumption for simultaneous reception was discussed in last meeting, the following options were captured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3"/>
              </w:numPr>
              <w:rPr>
                <w:color w:val="000000" w:themeColor="text1"/>
                <w14:textFill>
                  <w14:solidFill>
                    <w14:schemeClr w14:val="tx1"/>
                  </w14:solidFill>
                </w14:textFill>
              </w:rPr>
            </w:pPr>
            <w:r>
              <w:rPr>
                <w:color w:val="000000" w:themeColor="text1"/>
                <w14:textFill>
                  <w14:solidFill>
                    <w14:schemeClr w14:val="tx1"/>
                  </w14:solidFill>
                </w14:textFill>
              </w:rPr>
              <w:t xml:space="preserve">Option 1: </w:t>
            </w:r>
          </w:p>
          <w:p>
            <w:pPr>
              <w:pStyle w:val="28"/>
              <w:numPr>
                <w:ilvl w:val="1"/>
                <w:numId w:val="3"/>
              </w:numPr>
              <w:rPr>
                <w:color w:val="000000" w:themeColor="text1"/>
                <w14:textFill>
                  <w14:solidFill>
                    <w14:schemeClr w14:val="tx1"/>
                  </w14:solidFill>
                </w14:textFill>
              </w:rPr>
            </w:pPr>
            <w:r>
              <w:rPr>
                <w:color w:val="000000" w:themeColor="text1"/>
                <w14:textFill>
                  <w14:solidFill>
                    <w14:schemeClr w14:val="tx1"/>
                  </w14:solidFill>
                </w14:textFill>
              </w:rPr>
              <w:t>AoA condition from two TRPs should be considered as a side condition for RRM requirement based on simultaneous multi-panel reception.</w:t>
            </w:r>
          </w:p>
          <w:p>
            <w:pPr>
              <w:pStyle w:val="28"/>
              <w:numPr>
                <w:ilvl w:val="0"/>
                <w:numId w:val="3"/>
              </w:numPr>
              <w:rPr>
                <w:color w:val="000000" w:themeColor="text1"/>
                <w14:textFill>
                  <w14:solidFill>
                    <w14:schemeClr w14:val="tx1"/>
                  </w14:solidFill>
                </w14:textFill>
              </w:rPr>
            </w:pPr>
            <w:r>
              <w:rPr>
                <w:color w:val="000000" w:themeColor="text1"/>
                <w14:textFill>
                  <w14:solidFill>
                    <w14:schemeClr w14:val="tx1"/>
                  </w14:solidFill>
                </w14:textFill>
              </w:rPr>
              <w:t>Option 2:</w:t>
            </w:r>
          </w:p>
          <w:p>
            <w:pPr>
              <w:pStyle w:val="28"/>
              <w:numPr>
                <w:ilvl w:val="1"/>
                <w:numId w:val="3"/>
              </w:numPr>
              <w:rPr>
                <w:color w:val="000000" w:themeColor="text1"/>
                <w14:textFill>
                  <w14:solidFill>
                    <w14:schemeClr w14:val="tx1"/>
                  </w14:solidFill>
                </w14:textFill>
              </w:rPr>
            </w:pPr>
            <w:r>
              <w:rPr>
                <w:color w:val="000000" w:themeColor="text1"/>
                <w14:textFill>
                  <w14:solidFill>
                    <w14:schemeClr w14:val="tx1"/>
                  </w14:solidFill>
                </w14:textFill>
              </w:rPr>
              <w:t>Multiple TRP transmission with simultaneous multi-panel reception should be prioritized in this WI, RAN4 shall strive to define scenarios for “simultaneous reception” based on different T RPs operation.</w:t>
            </w:r>
          </w:p>
          <w:p>
            <w:pPr>
              <w:pStyle w:val="28"/>
              <w:numPr>
                <w:ilvl w:val="0"/>
                <w:numId w:val="3"/>
              </w:numPr>
              <w:rPr>
                <w:color w:val="000000" w:themeColor="text1"/>
                <w14:textFill>
                  <w14:solidFill>
                    <w14:schemeClr w14:val="tx1"/>
                  </w14:solidFill>
                </w14:textFill>
              </w:rPr>
            </w:pPr>
            <w:r>
              <w:rPr>
                <w:color w:val="000000" w:themeColor="text1"/>
                <w14:textFill>
                  <w14:solidFill>
                    <w14:schemeClr w14:val="tx1"/>
                  </w14:solidFill>
                </w14:textFill>
              </w:rPr>
              <w:t>Option 3:</w:t>
            </w:r>
          </w:p>
          <w:p>
            <w:pPr>
              <w:pStyle w:val="28"/>
              <w:numPr>
                <w:ilvl w:val="1"/>
                <w:numId w:val="3"/>
              </w:numPr>
              <w:rPr>
                <w:color w:val="000000" w:themeColor="text1"/>
                <w14:textFill>
                  <w14:solidFill>
                    <w14:schemeClr w14:val="tx1"/>
                  </w14:solidFill>
                </w14:textFill>
              </w:rPr>
            </w:pPr>
            <w:r>
              <w:rPr>
                <w:color w:val="000000" w:themeColor="text1"/>
                <w14:textFill>
                  <w14:solidFill>
                    <w14:schemeClr w14:val="tx1"/>
                  </w14:solidFill>
                </w14:textFill>
              </w:rPr>
              <w:t>Discuss the conditions for different UE beam assumptions (pairs for simultaneous reception or best beam for each TRP) for corresponding requirements.</w:t>
            </w:r>
          </w:p>
          <w:p>
            <w:pPr>
              <w:pStyle w:val="28"/>
              <w:numPr>
                <w:ilvl w:val="0"/>
                <w:numId w:val="3"/>
              </w:numPr>
              <w:rPr>
                <w:color w:val="000000" w:themeColor="text1"/>
                <w14:textFill>
                  <w14:solidFill>
                    <w14:schemeClr w14:val="tx1"/>
                  </w14:solidFill>
                </w14:textFill>
              </w:rPr>
            </w:pPr>
            <w:r>
              <w:rPr>
                <w:color w:val="000000" w:themeColor="text1"/>
                <w14:textFill>
                  <w14:solidFill>
                    <w14:schemeClr w14:val="tx1"/>
                  </w14:solidFill>
                </w14:textFill>
              </w:rPr>
              <w:t>Option 4:</w:t>
            </w:r>
          </w:p>
          <w:p>
            <w:pPr>
              <w:pStyle w:val="28"/>
              <w:numPr>
                <w:ilvl w:val="1"/>
                <w:numId w:val="3"/>
              </w:numPr>
              <w:rPr>
                <w:color w:val="000000" w:themeColor="text1"/>
                <w14:textFill>
                  <w14:solidFill>
                    <w14:schemeClr w14:val="tx1"/>
                  </w14:solidFill>
                </w14:textFill>
              </w:rPr>
            </w:pPr>
            <w:r>
              <w:rPr>
                <w:color w:val="000000" w:themeColor="text1"/>
                <w14:textFill>
                  <w14:solidFill>
                    <w14:schemeClr w14:val="tx1"/>
                  </w14:solidFill>
                </w14:textFill>
              </w:rPr>
              <w:t>Using a single Rx panel or multiple panels for simultaneous reception from multiple TRP transmission are possible.</w:t>
            </w:r>
          </w:p>
          <w:p>
            <w:pPr>
              <w:pStyle w:val="28"/>
              <w:numPr>
                <w:ilvl w:val="0"/>
                <w:numId w:val="3"/>
              </w:numPr>
              <w:rPr>
                <w:color w:val="000000" w:themeColor="text1"/>
                <w14:textFill>
                  <w14:solidFill>
                    <w14:schemeClr w14:val="tx1"/>
                  </w14:solidFill>
                </w14:textFill>
              </w:rPr>
            </w:pPr>
            <w:r>
              <w:rPr>
                <w:color w:val="000000" w:themeColor="text1"/>
                <w14:textFill>
                  <w14:solidFill>
                    <w14:schemeClr w14:val="tx1"/>
                  </w14:solidFill>
                </w14:textFill>
              </w:rPr>
              <w:t xml:space="preserve">Option 5: </w:t>
            </w:r>
          </w:p>
          <w:p>
            <w:pPr>
              <w:pStyle w:val="28"/>
              <w:numPr>
                <w:ilvl w:val="1"/>
                <w:numId w:val="3"/>
              </w:numPr>
              <w:rPr>
                <w:color w:val="000000" w:themeColor="text1"/>
                <w14:textFill>
                  <w14:solidFill>
                    <w14:schemeClr w14:val="tx1"/>
                  </w14:solidFill>
                </w14:textFill>
              </w:rPr>
            </w:pPr>
            <w:r>
              <w:rPr>
                <w:color w:val="000000" w:themeColor="text1"/>
                <w14:textFill>
                  <w14:solidFill>
                    <w14:schemeClr w14:val="tx1"/>
                  </w14:solidFill>
                </w14:textFill>
              </w:rPr>
              <w:t>The discussions of simultaneous reception by two active UE Rx antenna modules should be prioritized over that of single active antenna modules in R18 multi-Rx chains WI.</w:t>
            </w:r>
          </w:p>
          <w:p>
            <w:pPr>
              <w:pStyle w:val="28"/>
              <w:numPr>
                <w:ilvl w:val="0"/>
                <w:numId w:val="3"/>
              </w:numPr>
              <w:rPr>
                <w:color w:val="000000" w:themeColor="text1"/>
                <w14:textFill>
                  <w14:solidFill>
                    <w14:schemeClr w14:val="tx1"/>
                  </w14:solidFill>
                </w14:textFill>
              </w:rPr>
            </w:pPr>
            <w:r>
              <w:rPr>
                <w:color w:val="000000" w:themeColor="text1"/>
                <w14:textFill>
                  <w14:solidFill>
                    <w14:schemeClr w14:val="tx1"/>
                  </w14:solidFill>
                </w14:textFill>
              </w:rPr>
              <w:t xml:space="preserve">Option 6: </w:t>
            </w:r>
          </w:p>
          <w:p>
            <w:pPr>
              <w:pStyle w:val="28"/>
              <w:numPr>
                <w:ilvl w:val="1"/>
                <w:numId w:val="3"/>
              </w:numPr>
              <w:rPr>
                <w:color w:val="000000" w:themeColor="text1"/>
                <w14:textFill>
                  <w14:solidFill>
                    <w14:schemeClr w14:val="tx1"/>
                  </w14:solidFill>
                </w14:textFill>
              </w:rPr>
            </w:pPr>
            <w:r>
              <w:rPr>
                <w:color w:val="000000" w:themeColor="text1"/>
                <w14:textFill>
                  <w14:solidFill>
                    <w14:schemeClr w14:val="tx1"/>
                  </w14:solidFill>
                </w14:textFill>
              </w:rPr>
              <w:t>The case of simultaneous reception with a single Rx beam from multiple TRPs is possible under the prerequisite of group based reporting.</w:t>
            </w:r>
          </w:p>
          <w:p>
            <w:pPr>
              <w:pStyle w:val="28"/>
              <w:numPr>
                <w:ilvl w:val="0"/>
                <w:numId w:val="3"/>
              </w:numPr>
              <w:rPr>
                <w:color w:val="000000" w:themeColor="text1"/>
                <w14:textFill>
                  <w14:solidFill>
                    <w14:schemeClr w14:val="tx1"/>
                  </w14:solidFill>
                </w14:textFill>
              </w:rPr>
            </w:pPr>
            <w:r>
              <w:rPr>
                <w:color w:val="000000" w:themeColor="text1"/>
                <w14:textFill>
                  <w14:solidFill>
                    <w14:schemeClr w14:val="tx1"/>
                  </w14:solidFill>
                </w14:textFill>
              </w:rPr>
              <w:t xml:space="preserve">Option 7: </w:t>
            </w:r>
          </w:p>
          <w:p>
            <w:pPr>
              <w:pStyle w:val="28"/>
              <w:numPr>
                <w:ilvl w:val="1"/>
                <w:numId w:val="3"/>
              </w:numPr>
              <w:rPr>
                <w:color w:val="000000" w:themeColor="text1"/>
                <w14:textFill>
                  <w14:solidFill>
                    <w14:schemeClr w14:val="tx1"/>
                  </w14:solidFill>
                </w14:textFill>
              </w:rPr>
            </w:pPr>
            <w:r>
              <w:rPr>
                <w:color w:val="000000" w:themeColor="text1"/>
                <w14:textFill>
                  <w14:solidFill>
                    <w14:schemeClr w14:val="tx1"/>
                  </w14:solidFill>
                </w14:textFill>
              </w:rPr>
              <w:t>Multiple TRP transmission with simultaneous multi-panel reception should be prioritized in this WI, RAN4 shall strive to define scenarios for “simultaneous reception” based on different TRPs operation.</w:t>
            </w:r>
          </w:p>
          <w:p>
            <w:pPr>
              <w:pStyle w:val="28"/>
              <w:numPr>
                <w:ilvl w:val="1"/>
                <w:numId w:val="3"/>
              </w:numPr>
              <w:rPr>
                <w:color w:val="000000" w:themeColor="text1"/>
                <w14:textFill>
                  <w14:solidFill>
                    <w14:schemeClr w14:val="tx1"/>
                  </w14:solidFill>
                </w14:textFill>
              </w:rPr>
            </w:pPr>
            <w:r>
              <w:rPr>
                <w:color w:val="000000" w:themeColor="text1"/>
                <w14:textFill>
                  <w14:solidFill>
                    <w14:schemeClr w14:val="tx1"/>
                  </w14:solidFill>
                </w14:textFill>
              </w:rPr>
              <w:t>The case of simultaneous reception with a single Rx beam from multiple TRPs should be considered in Multi-Rx WI, but RAN4 not to define any extra requirements for such case.</w:t>
            </w:r>
          </w:p>
          <w:p>
            <w:pPr>
              <w:pStyle w:val="28"/>
              <w:numPr>
                <w:ilvl w:val="0"/>
                <w:numId w:val="3"/>
              </w:numPr>
              <w:rPr>
                <w:color w:val="000000" w:themeColor="text1"/>
                <w14:textFill>
                  <w14:solidFill>
                    <w14:schemeClr w14:val="tx1"/>
                  </w14:solidFill>
                </w14:textFill>
              </w:rPr>
            </w:pPr>
            <w:r>
              <w:rPr>
                <w:color w:val="000000" w:themeColor="text1"/>
                <w14:textFill>
                  <w14:solidFill>
                    <w14:schemeClr w14:val="tx1"/>
                  </w14:solidFill>
                </w14:textFill>
              </w:rPr>
              <w:t xml:space="preserve">Option 8: </w:t>
            </w:r>
          </w:p>
          <w:p>
            <w:pPr>
              <w:pStyle w:val="28"/>
              <w:numPr>
                <w:ilvl w:val="1"/>
                <w:numId w:val="3"/>
              </w:numPr>
              <w:rPr>
                <w:rFonts w:hint="eastAsia"/>
                <w:lang w:val="en-US" w:eastAsia="zh-CN"/>
              </w:rPr>
            </w:pPr>
            <w:r>
              <w:rPr>
                <w:color w:val="000000" w:themeColor="text1"/>
                <w14:textFill>
                  <w14:solidFill>
                    <w14:schemeClr w14:val="tx1"/>
                  </w14:solidFill>
                </w14:textFill>
              </w:rPr>
              <w:t>Simultaneous reception for two L3 measurements on different panels/from different directions is not supported in R18 multi-Rx chain WI.</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To our understand, since the group-based reporting is decided as the prerequisite of the simultaneous reception from multiple TRPs, so the assumption of multiple Rx beam from multiple TRPs is the main use case. While during the faster Rx beam sweeping, in fact the UE is possible to apply multiple Rx beam simultaneously to train the Rx beam, under such case, UE is capable of receiving a signal from a single TRP with multiple Rx beams. We are wondering such Rx beam training process is within the scope of this issue. </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During the faster Rx beam sweeping, UE is possible to apply multiple Rx beam simultaneously to train the Rx beam, i.e. receiving a signal from a single TRP with multiple Rx beams.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Besides the operation of faster Rx beam sweeping, to our understanding, the above Option 2 is general case. That is, the multiple TRP reception via multiple Rx beams with simultaneous multi-panel reception is the common case for simultaneous reception.   </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Considering the group-based reporting is decided as the prerequisite of the simultaneous reception from multiple TRPs, so the assumption of multiple Rx beam from multiple TRPs is the main use case for simultaneous reception.</w:t>
      </w:r>
    </w:p>
    <w:p>
      <w:pPr>
        <w:pStyle w:val="3"/>
        <w:bidi w:val="0"/>
        <w:rPr>
          <w:rFonts w:hint="eastAsi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3</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 xml:space="preserve">Indication of multi-Rx operation </w:t>
      </w:r>
    </w:p>
    <w:p>
      <w:pPr>
        <w:pStyle w:val="8"/>
        <w:tabs>
          <w:tab w:val="left" w:pos="226"/>
          <w:tab w:val="left" w:pos="284"/>
          <w:tab w:val="left" w:pos="5103"/>
        </w:tabs>
        <w:snapToGrid w:val="0"/>
        <w:spacing w:before="156" w:beforeLines="50"/>
        <w:rPr>
          <w:rFonts w:hint="default"/>
          <w:lang w:val="en-US" w:eastAsia="zh-CN"/>
        </w:rPr>
      </w:pPr>
      <w:r>
        <w:rPr>
          <w:rFonts w:hint="eastAsia" w:eastAsia="宋体"/>
          <w:color w:val="auto"/>
          <w:sz w:val="20"/>
          <w:szCs w:val="20"/>
          <w:lang w:val="en-US" w:eastAsia="zh-CN"/>
        </w:rPr>
        <w:t>Regarding this issue, the following two options were captured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3"/>
              </w:numPr>
              <w:overflowPunct w:val="0"/>
              <w:autoSpaceDE w:val="0"/>
              <w:autoSpaceDN w:val="0"/>
              <w:adjustRightInd w:val="0"/>
              <w:spacing w:line="252" w:lineRule="auto"/>
              <w:ind w:left="1236" w:leftChars="0"/>
              <w:rPr>
                <w:bCs/>
                <w:highlight w:val="none"/>
              </w:rPr>
            </w:pPr>
            <w:r>
              <w:rPr>
                <w:bCs/>
                <w:highlight w:val="none"/>
              </w:rPr>
              <w:t>Option 1: Do not introduce new</w:t>
            </w:r>
            <w:r>
              <w:rPr>
                <w:color w:val="000000" w:themeColor="text1"/>
                <w:highlight w:val="none"/>
                <w14:textFill>
                  <w14:solidFill>
                    <w14:schemeClr w14:val="tx1"/>
                  </w14:solidFill>
                </w14:textFill>
              </w:rPr>
              <w:t xml:space="preserve"> dynamic or semi-static signaling for indication of applicability of multi-Rx operation</w:t>
            </w:r>
          </w:p>
          <w:p>
            <w:pPr>
              <w:pStyle w:val="28"/>
              <w:numPr>
                <w:ilvl w:val="0"/>
                <w:numId w:val="3"/>
              </w:numPr>
              <w:overflowPunct w:val="0"/>
              <w:autoSpaceDE w:val="0"/>
              <w:autoSpaceDN w:val="0"/>
              <w:adjustRightInd w:val="0"/>
              <w:spacing w:line="252" w:lineRule="auto"/>
              <w:ind w:left="1236" w:leftChars="0"/>
              <w:rPr>
                <w:rFonts w:hint="eastAsia"/>
                <w:lang w:val="en-US" w:eastAsia="zh-CN"/>
              </w:rPr>
            </w:pPr>
            <w:r>
              <w:rPr>
                <w:color w:val="000000" w:themeColor="text1"/>
                <w:highlight w:val="none"/>
                <w14:textFill>
                  <w14:solidFill>
                    <w14:schemeClr w14:val="tx1"/>
                  </w14:solidFill>
                </w14:textFill>
              </w:rPr>
              <w:t xml:space="preserve">Option 2: RAN4 to ask RAN2 to extend </w:t>
            </w:r>
            <w:r>
              <w:rPr>
                <w:i/>
                <w:iCs/>
                <w:color w:val="000000" w:themeColor="text1"/>
                <w:highlight w:val="none"/>
                <w14:textFill>
                  <w14:solidFill>
                    <w14:schemeClr w14:val="tx1"/>
                  </w14:solidFill>
                </w14:textFill>
              </w:rPr>
              <w:t>OverheatingAssistance</w:t>
            </w:r>
            <w:r>
              <w:rPr>
                <w:color w:val="000000" w:themeColor="text1"/>
                <w:highlight w:val="none"/>
                <w14:textFill>
                  <w14:solidFill>
                    <w14:schemeClr w14:val="tx1"/>
                  </w14:solidFill>
                </w14:textFill>
              </w:rPr>
              <w:t xml:space="preserve"> mechanism to also cover multi-RX chain operation. The details are up to RAN2.</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During last meeting, the majority agree to introduce some mechanism/condition for the indication of multi-Rx operation, including on/off indication of multi-Rx operation. It is reasonable and effective on the power saving. Even though it has been decided that not any power saving specific requirement definition, but from the perspective of power saving and the UE operation in practice, only when the UE is capable and there is traffic or measurement demands on the multi-panel reception, the UE needs to enable the simultaneous multiple panel reception; Otherwise, no need to enable the simultaneous multiple panel operation. Some mechanism can help to realize it, such as introduce some interaction signalling or reuse the existing signalling between the UE and the NW. When there is 4 layers data traffic demand or some parallel measurements demand or the simultaneous data traffic and measurements demand, the NW can indicate UE to enable the simultaneous multiple panel reception for the capable UE. Of course, when to trigger, which is depend on NW.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Some company believe such explicit indication from UE to NW can be replaced by some implicit indication, such as the unbalanced value in GBBR reporting. To our understanding, until now, both RAN1 and RAN4 did not achieve any conditions on the unbalanced report under the case of GBBR configured. So once GBBR configured by NW, the UE would always report beam pair(s) no matter the performance or the pair is poor or good. So such implicit indication by GBBR is not reliable. Some explicit indication is necessary.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3: Until now, both RAN1 and RAN4 did not achieve any conditions on the unbalanced report under the case of GBBR configured. Once GBBR configured by NW, the UE would always report beam pair(s) no matter the performance or the pair is poor or good.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Whether reusing the existing signalling such as </w:t>
      </w:r>
      <w:r>
        <w:rPr>
          <w:i/>
          <w:iCs/>
          <w:color w:val="000000" w:themeColor="text1"/>
          <w:highlight w:val="none"/>
          <w14:textFill>
            <w14:solidFill>
              <w14:schemeClr w14:val="tx1"/>
            </w14:solidFill>
          </w14:textFill>
        </w:rPr>
        <w:t>OverheatingAssistance</w:t>
      </w:r>
      <w:r>
        <w:rPr>
          <w:rFonts w:hint="eastAsia" w:eastAsia="宋体"/>
          <w:i/>
          <w:iCs/>
          <w:color w:val="000000" w:themeColor="text1"/>
          <w:highlight w:val="none"/>
          <w:lang w:val="en-US" w:eastAsia="zh-CN"/>
          <w14:textFill>
            <w14:solidFill>
              <w14:schemeClr w14:val="tx1"/>
            </w14:solidFill>
          </w14:textFill>
        </w:rPr>
        <w:t xml:space="preserve"> </w:t>
      </w:r>
      <w:r>
        <w:rPr>
          <w:rFonts w:hint="eastAsia" w:eastAsia="宋体"/>
          <w:color w:val="auto"/>
          <w:sz w:val="20"/>
          <w:szCs w:val="20"/>
          <w:lang w:val="en-US" w:eastAsia="zh-CN"/>
        </w:rPr>
        <w:t>mechanism, which can be further decided. While the most straightforward way is to design something new.</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We agree to introduce some mechanism/condition for indication of multl-Rx operation, including on/off indication of multi-Rx operation. Introduce some interaction signalling or reuse the existing signalling are both acceptable.</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4</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 xml:space="preserve">Related UE capabilities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With respect to the related UE capability for simultaneous multiple panel reception, in last meeting, good progress is achieved. The existing UE capability </w:t>
      </w:r>
      <w:r>
        <w:rPr>
          <w:rFonts w:eastAsia="宋体"/>
          <w:i/>
          <w:color w:val="000000" w:themeColor="text1"/>
          <w:szCs w:val="24"/>
          <w:lang w:eastAsia="zh-CN"/>
          <w14:textFill>
            <w14:solidFill>
              <w14:schemeClr w14:val="tx1"/>
            </w14:solidFill>
          </w14:textFill>
        </w:rPr>
        <w:t>simultaneousRxDataSSB-DiffNumerology-Inter-r16</w:t>
      </w:r>
      <w:r>
        <w:rPr>
          <w:rFonts w:hint="eastAsia" w:eastAsia="宋体"/>
          <w:color w:val="auto"/>
          <w:sz w:val="20"/>
          <w:szCs w:val="20"/>
          <w:lang w:val="en-US" w:eastAsia="zh-CN"/>
        </w:rPr>
        <w:t xml:space="preserve"> is decided to be precluded from this WI. Furthermore, the existing UE capability </w:t>
      </w:r>
      <w:r>
        <w:rPr>
          <w:rFonts w:eastAsia="宋体"/>
          <w:i/>
          <w:szCs w:val="24"/>
          <w:lang w:eastAsia="zh-CN"/>
        </w:rPr>
        <w:t>simultaneousReceptionDiffTypeD</w:t>
      </w:r>
      <w:r>
        <w:rPr>
          <w:rFonts w:hint="eastAsia" w:eastAsia="宋体"/>
          <w:color w:val="auto"/>
          <w:sz w:val="20"/>
          <w:szCs w:val="20"/>
          <w:lang w:val="en-US" w:eastAsia="zh-CN"/>
        </w:rPr>
        <w:t xml:space="preserve"> is clarified only applicable for simultaneous PDSCH reception. So we can further discuss whether and how to reuse the existing UE capability </w:t>
      </w:r>
      <w:r>
        <w:rPr>
          <w:rFonts w:hint="eastAsia" w:eastAsia="宋体"/>
          <w:i/>
          <w:iCs/>
          <w:color w:val="auto"/>
          <w:sz w:val="20"/>
          <w:szCs w:val="20"/>
          <w:lang w:val="en-US" w:eastAsia="zh-CN"/>
        </w:rPr>
        <w:t>simultaneousRxDataSSB-DiffNumerology</w:t>
      </w:r>
      <w:r>
        <w:rPr>
          <w:rFonts w:hint="eastAsia" w:eastAsia="宋体"/>
          <w:color w:val="auto"/>
          <w:sz w:val="20"/>
          <w:szCs w:val="20"/>
          <w:lang w:val="en-US" w:eastAsia="zh-CN"/>
        </w:rPr>
        <w: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Based on the following definition, and combined with the specification in [3], the UE capability of </w:t>
      </w:r>
      <w:r>
        <w:rPr>
          <w:rFonts w:hint="eastAsia" w:eastAsia="宋体"/>
          <w:i/>
          <w:iCs/>
          <w:color w:val="auto"/>
          <w:sz w:val="20"/>
          <w:szCs w:val="20"/>
          <w:lang w:val="en-US" w:eastAsia="zh-CN"/>
        </w:rPr>
        <w:t>simultaneousRxDataSSB-DiffNumerology</w:t>
      </w:r>
      <w:r>
        <w:rPr>
          <w:rFonts w:hint="eastAsia" w:eastAsia="宋体"/>
          <w:color w:val="auto"/>
          <w:sz w:val="20"/>
          <w:szCs w:val="20"/>
          <w:lang w:val="en-US" w:eastAsia="zh-CN"/>
        </w:rPr>
        <w:t xml:space="preserve"> is only applicable for FR1, not for FR2.</w:t>
      </w:r>
    </w:p>
    <w:tbl>
      <w:tblPr>
        <w:tblStyle w:val="16"/>
        <w:tblW w:w="9529" w:type="dxa"/>
        <w:tblInd w:w="10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807"/>
        <w:gridCol w:w="709"/>
        <w:gridCol w:w="564"/>
        <w:gridCol w:w="712"/>
        <w:gridCol w:w="737"/>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pPr>
              <w:pStyle w:val="35"/>
              <w:jc w:val="center"/>
              <w:rPr>
                <w:rFonts w:hint="default" w:eastAsia="宋体"/>
                <w:b/>
                <w:bCs/>
                <w:lang w:val="en-US" w:eastAsia="zh-CN"/>
              </w:rPr>
            </w:pPr>
            <w:r>
              <w:rPr>
                <w:rFonts w:hint="eastAsia"/>
                <w:b/>
                <w:bCs/>
                <w:lang w:val="en-US" w:eastAsia="zh-CN"/>
              </w:rPr>
              <w:t>Definitions for parameters</w:t>
            </w:r>
          </w:p>
        </w:tc>
        <w:tc>
          <w:tcPr>
            <w:tcW w:w="709" w:type="dxa"/>
          </w:tcPr>
          <w:p>
            <w:pPr>
              <w:pStyle w:val="35"/>
              <w:jc w:val="center"/>
              <w:rPr>
                <w:rFonts w:hint="default" w:eastAsia="宋体" w:cs="Arial"/>
                <w:b/>
                <w:bCs/>
                <w:iCs/>
                <w:szCs w:val="18"/>
                <w:lang w:val="en-US" w:eastAsia="zh-CN"/>
              </w:rPr>
            </w:pPr>
            <w:r>
              <w:rPr>
                <w:rFonts w:hint="eastAsia" w:cs="Arial"/>
                <w:b/>
                <w:bCs/>
                <w:iCs/>
                <w:szCs w:val="18"/>
                <w:lang w:val="en-US" w:eastAsia="zh-CN"/>
              </w:rPr>
              <w:t>Per</w:t>
            </w:r>
          </w:p>
        </w:tc>
        <w:tc>
          <w:tcPr>
            <w:tcW w:w="564" w:type="dxa"/>
          </w:tcPr>
          <w:p>
            <w:pPr>
              <w:pStyle w:val="35"/>
              <w:jc w:val="center"/>
              <w:rPr>
                <w:rFonts w:hint="eastAsia" w:eastAsia="宋体" w:cs="Arial"/>
                <w:b/>
                <w:bCs/>
                <w:iCs/>
                <w:szCs w:val="18"/>
                <w:lang w:val="en-US" w:eastAsia="zh-CN"/>
              </w:rPr>
            </w:pPr>
            <w:r>
              <w:rPr>
                <w:rFonts w:hint="eastAsia" w:cs="Arial"/>
                <w:b/>
                <w:bCs/>
                <w:iCs/>
                <w:szCs w:val="18"/>
                <w:lang w:val="en-US" w:eastAsia="zh-CN"/>
              </w:rPr>
              <w:t>M</w:t>
            </w:r>
          </w:p>
        </w:tc>
        <w:tc>
          <w:tcPr>
            <w:tcW w:w="712" w:type="dxa"/>
          </w:tcPr>
          <w:p>
            <w:pPr>
              <w:pStyle w:val="35"/>
              <w:jc w:val="center"/>
              <w:rPr>
                <w:rFonts w:hint="default" w:eastAsia="宋体" w:cs="Arial"/>
                <w:b/>
                <w:bCs/>
                <w:iCs/>
                <w:szCs w:val="18"/>
                <w:lang w:val="en-US" w:eastAsia="zh-CN"/>
              </w:rPr>
            </w:pPr>
            <w:r>
              <w:rPr>
                <w:rFonts w:hint="eastAsia" w:cs="Arial"/>
                <w:b/>
                <w:bCs/>
                <w:iCs/>
                <w:szCs w:val="18"/>
                <w:lang w:val="en-US" w:eastAsia="zh-CN"/>
              </w:rPr>
              <w:t>FDD-TDD DIFF</w:t>
            </w:r>
          </w:p>
        </w:tc>
        <w:tc>
          <w:tcPr>
            <w:tcW w:w="737" w:type="dxa"/>
          </w:tcPr>
          <w:p>
            <w:pPr>
              <w:pStyle w:val="35"/>
              <w:jc w:val="center"/>
              <w:rPr>
                <w:rFonts w:hint="default" w:eastAsia="宋体" w:cs="Arial"/>
                <w:b/>
                <w:bCs/>
                <w:iCs/>
                <w:szCs w:val="18"/>
                <w:lang w:val="en-US" w:eastAsia="zh-CN"/>
              </w:rPr>
            </w:pPr>
            <w:r>
              <w:rPr>
                <w:rFonts w:hint="eastAsia" w:eastAsia="宋体" w:cs="Arial"/>
                <w:b/>
                <w:bCs/>
                <w:iCs/>
                <w:szCs w:val="18"/>
                <w:lang w:val="en-US" w:eastAsia="zh-CN"/>
              </w:rPr>
              <w:t>FR1-FR2 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pPr>
              <w:pStyle w:val="35"/>
              <w:rPr>
                <w:rFonts w:cs="Arial"/>
                <w:b/>
                <w:bCs/>
                <w:i/>
                <w:iCs/>
                <w:szCs w:val="18"/>
              </w:rPr>
            </w:pPr>
            <w:r>
              <w:rPr>
                <w:rFonts w:cs="Arial"/>
                <w:b/>
                <w:bCs/>
                <w:i/>
                <w:iCs/>
                <w:szCs w:val="18"/>
              </w:rPr>
              <w:t>simultaneousRxDataSSB-DiffNumerology</w:t>
            </w:r>
          </w:p>
          <w:p>
            <w:pPr>
              <w:pStyle w:val="35"/>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w:t>
            </w:r>
          </w:p>
        </w:tc>
        <w:tc>
          <w:tcPr>
            <w:tcW w:w="709" w:type="dxa"/>
          </w:tcPr>
          <w:p>
            <w:pPr>
              <w:pStyle w:val="35"/>
              <w:jc w:val="center"/>
              <w:rPr>
                <w:rFonts w:cs="Arial"/>
                <w:bCs/>
                <w:iCs/>
                <w:szCs w:val="18"/>
              </w:rPr>
            </w:pPr>
            <w:r>
              <w:rPr>
                <w:rFonts w:cs="Arial"/>
                <w:bCs/>
                <w:iCs/>
                <w:szCs w:val="18"/>
              </w:rPr>
              <w:t>UE</w:t>
            </w:r>
          </w:p>
        </w:tc>
        <w:tc>
          <w:tcPr>
            <w:tcW w:w="564" w:type="dxa"/>
          </w:tcPr>
          <w:p>
            <w:pPr>
              <w:pStyle w:val="35"/>
              <w:jc w:val="center"/>
              <w:rPr>
                <w:rFonts w:cs="Arial"/>
                <w:bCs/>
                <w:iCs/>
                <w:szCs w:val="18"/>
              </w:rPr>
            </w:pPr>
            <w:r>
              <w:rPr>
                <w:rFonts w:cs="Arial"/>
                <w:bCs/>
                <w:iCs/>
                <w:szCs w:val="18"/>
              </w:rPr>
              <w:t>No</w:t>
            </w:r>
          </w:p>
        </w:tc>
        <w:tc>
          <w:tcPr>
            <w:tcW w:w="712" w:type="dxa"/>
          </w:tcPr>
          <w:p>
            <w:pPr>
              <w:pStyle w:val="35"/>
              <w:jc w:val="center"/>
              <w:rPr>
                <w:rFonts w:cs="Arial"/>
                <w:bCs/>
                <w:iCs/>
                <w:szCs w:val="18"/>
              </w:rPr>
            </w:pPr>
            <w:r>
              <w:rPr>
                <w:rFonts w:cs="Arial"/>
                <w:bCs/>
                <w:iCs/>
                <w:szCs w:val="18"/>
              </w:rPr>
              <w:t>No</w:t>
            </w:r>
          </w:p>
        </w:tc>
        <w:tc>
          <w:tcPr>
            <w:tcW w:w="737" w:type="dxa"/>
          </w:tcPr>
          <w:p>
            <w:pPr>
              <w:pStyle w:val="35"/>
              <w:jc w:val="center"/>
              <w:rPr>
                <w:rFonts w:eastAsia="MS Mincho" w:cs="Arial"/>
                <w:bCs/>
                <w:iCs/>
                <w:szCs w:val="18"/>
              </w:rPr>
            </w:pPr>
            <w:r>
              <w:rPr>
                <w:rFonts w:eastAsia="MS Mincho" w:cs="Arial"/>
                <w:bCs/>
                <w:iCs/>
                <w:szCs w:val="18"/>
              </w:rPr>
              <w:t>Yes</w:t>
            </w:r>
          </w:p>
        </w:tc>
      </w:tr>
    </w:tbl>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4: The UE capability of </w:t>
      </w:r>
      <w:r>
        <w:rPr>
          <w:rFonts w:hint="eastAsia" w:eastAsia="宋体" w:cs="Times New Roman"/>
          <w:b/>
          <w:bCs/>
          <w:i/>
          <w:iCs/>
          <w:color w:val="auto"/>
          <w:sz w:val="20"/>
          <w:szCs w:val="20"/>
          <w:highlight w:val="none"/>
          <w:lang w:val="en-US" w:eastAsia="zh-CN" w:bidi="ar-SA"/>
        </w:rPr>
        <w:t>simultaneousRxDataSSB-DiffNumerology</w:t>
      </w:r>
      <w:r>
        <w:rPr>
          <w:rFonts w:hint="eastAsia" w:eastAsia="宋体" w:cs="Times New Roman"/>
          <w:b/>
          <w:bCs/>
          <w:color w:val="auto"/>
          <w:sz w:val="20"/>
          <w:szCs w:val="20"/>
          <w:highlight w:val="none"/>
          <w:lang w:val="en-US" w:eastAsia="zh-CN" w:bidi="ar-SA"/>
        </w:rPr>
        <w:t xml:space="preserve"> is only applicable for FR1, not for FR2.</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To our understand, the existing UE capability </w:t>
      </w:r>
      <w:r>
        <w:rPr>
          <w:rFonts w:hint="eastAsia" w:eastAsia="宋体"/>
          <w:i/>
          <w:iCs/>
          <w:color w:val="auto"/>
          <w:sz w:val="20"/>
          <w:szCs w:val="20"/>
          <w:lang w:val="en-US" w:eastAsia="zh-CN"/>
        </w:rPr>
        <w:t>simultaneousRxDataSSB-DiffNumerology</w:t>
      </w:r>
      <w:r>
        <w:rPr>
          <w:rFonts w:hint="eastAsia" w:eastAsia="宋体"/>
          <w:color w:val="auto"/>
          <w:sz w:val="20"/>
          <w:szCs w:val="20"/>
          <w:lang w:val="en-US" w:eastAsia="zh-CN"/>
        </w:rPr>
        <w:t>, if the supporting of concurrent SSB and data are consistent between FR1 and FR2-1, reusing this UE capability is feasible. But, it should be ultimately determined after the decision of single or multiple UE capabilities are necessary.</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Proposal 4: The existing UE capability </w:t>
      </w:r>
      <w:r>
        <w:rPr>
          <w:rFonts w:hint="eastAsia" w:eastAsia="宋体" w:cs="Times New Roman"/>
          <w:b/>
          <w:bCs/>
          <w:i/>
          <w:iCs/>
          <w:color w:val="auto"/>
          <w:sz w:val="20"/>
          <w:szCs w:val="20"/>
          <w:highlight w:val="none"/>
          <w:lang w:val="en-US" w:eastAsia="zh-CN" w:bidi="ar-SA"/>
        </w:rPr>
        <w:t>simultaneousRxDataSSB-DiffNumerology</w:t>
      </w:r>
      <w:r>
        <w:rPr>
          <w:rFonts w:hint="eastAsia" w:eastAsia="宋体" w:cs="Times New Roman"/>
          <w:b/>
          <w:bCs/>
          <w:color w:val="auto"/>
          <w:sz w:val="20"/>
          <w:szCs w:val="20"/>
          <w:highlight w:val="none"/>
          <w:lang w:val="en-US" w:eastAsia="zh-CN" w:bidi="ar-SA"/>
        </w:rPr>
        <w:t xml:space="preserve"> is feasible if the supporting of concurrent SSB and data are consistent between FR1 and FR2-1. But it should be ultimately determined after the decision of single or multiple UE capabilities are necessary.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around general RRM aspects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During the discussion on inter-cell BM in R17 FeMIMO WI, the basic assumption is only one panel activated as a time, so the simultaneous L1-RSRP measurements for SC and NSC is not allowed due to the concern on Rx beam.</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For the UE capable of simultaneous multi-panel Rx, we can firstly discuss the requirements enhancement targeted to intra-cell mTRP case. Once some conclusions achieved, then consider the extension into inter-cell mTRP case around the following issues:</w:t>
      </w:r>
    </w:p>
    <w:p>
      <w:pPr>
        <w:pStyle w:val="8"/>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Whether define the measurement requirements on NSC inside SMTC for FR2 for the case “</w:t>
      </w:r>
      <w:r>
        <w:rPr>
          <w:rFonts w:eastAsia="等线"/>
          <w:b/>
          <w:bCs/>
          <w:iCs/>
          <w:vertAlign w:val="subscript"/>
          <w:lang w:val="en-US" w:eastAsia="zh-CN"/>
        </w:rPr>
        <w:t>SSB,NSC</w:t>
      </w:r>
      <w:r>
        <w:rPr>
          <w:rFonts w:eastAsia="等线"/>
          <w:b/>
          <w:bCs/>
          <w:iCs/>
          <w:lang w:val="en-US" w:eastAsia="zh-CN"/>
        </w:rPr>
        <w:t xml:space="preserve"> ≥ T</w:t>
      </w:r>
      <w:r>
        <w:rPr>
          <w:rFonts w:eastAsia="等线"/>
          <w:b/>
          <w:bCs/>
          <w:iCs/>
          <w:vertAlign w:val="subscript"/>
          <w:lang w:val="en-US" w:eastAsia="zh-CN"/>
        </w:rPr>
        <w:t>SMTC</w:t>
      </w:r>
      <w:r>
        <w:rPr>
          <w:rFonts w:hint="eastAsia" w:eastAsia="宋体" w:cs="Times New Roman"/>
          <w:b/>
          <w:bCs/>
          <w:color w:val="auto"/>
          <w:sz w:val="20"/>
          <w:szCs w:val="20"/>
          <w:highlight w:val="none"/>
          <w:lang w:val="en-US" w:eastAsia="zh-CN" w:bidi="ar-SA"/>
        </w:rPr>
        <w:t>”;</w:t>
      </w:r>
    </w:p>
    <w:p>
      <w:pPr>
        <w:pStyle w:val="8"/>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Whether need the sharing factor for SC and NSC and Nmax =1.</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During the faster Rx beam sweeping, UE is possible to apply multiple Rx beam simultaneously to train the Rx beam, i.e. receiving a signal from a single TRP with multiple Rx beams.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Considering the group-based reporting is decided as the prerequisite of the simultaneous reception from multiple TRPs, so the assumption of multiple Rx beam from multiple TRPs is the main use case for simultaneous reception.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3: Until now, both RAN1 and RAN4 did not achieve any conditions on the unbalanced report under the case of GBBR configured. Once GBBR configured by NW, the UE would always report beam pair(s) no matter the performance or the pair is poor or good.</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We agree to introduce some mechanism/condition for indication of multl-Rx operation, including on/off indication of multi-Rx operation. Introduce some interaction signalling or reuse the existing signalling are both acceptable.</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4: The UE capability of </w:t>
      </w:r>
      <w:r>
        <w:rPr>
          <w:rFonts w:hint="eastAsia" w:eastAsia="宋体" w:cs="Times New Roman"/>
          <w:b/>
          <w:bCs/>
          <w:i/>
          <w:iCs/>
          <w:color w:val="auto"/>
          <w:sz w:val="20"/>
          <w:szCs w:val="20"/>
          <w:highlight w:val="none"/>
          <w:lang w:val="en-US" w:eastAsia="zh-CN" w:bidi="ar-SA"/>
        </w:rPr>
        <w:t>simultaneousRxDataSSB-DiffNumerology</w:t>
      </w:r>
      <w:r>
        <w:rPr>
          <w:rFonts w:hint="eastAsia" w:eastAsia="宋体" w:cs="Times New Roman"/>
          <w:b/>
          <w:bCs/>
          <w:color w:val="auto"/>
          <w:sz w:val="20"/>
          <w:szCs w:val="20"/>
          <w:highlight w:val="none"/>
          <w:lang w:val="en-US" w:eastAsia="zh-CN" w:bidi="ar-SA"/>
        </w:rPr>
        <w:t xml:space="preserve"> is only applicable for FR1, not for FR2.</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Proposal 4: The existing UE capability </w:t>
      </w:r>
      <w:r>
        <w:rPr>
          <w:rFonts w:hint="eastAsia" w:eastAsia="宋体" w:cs="Times New Roman"/>
          <w:b/>
          <w:bCs/>
          <w:i/>
          <w:iCs/>
          <w:color w:val="auto"/>
          <w:sz w:val="20"/>
          <w:szCs w:val="20"/>
          <w:highlight w:val="none"/>
          <w:lang w:val="en-US" w:eastAsia="zh-CN" w:bidi="ar-SA"/>
        </w:rPr>
        <w:t>simultaneousRxDataSSB-DiffNumerology</w:t>
      </w:r>
      <w:r>
        <w:rPr>
          <w:rFonts w:hint="eastAsia" w:eastAsia="宋体" w:cs="Times New Roman"/>
          <w:b/>
          <w:bCs/>
          <w:color w:val="auto"/>
          <w:sz w:val="20"/>
          <w:szCs w:val="20"/>
          <w:highlight w:val="none"/>
          <w:lang w:val="en-US" w:eastAsia="zh-CN" w:bidi="ar-SA"/>
        </w:rPr>
        <w:t xml:space="preserve"> is feasible if the supporting of concurrent SSB and data are consistent between FR1 and FR2-1. But it should be ultimately determined after the decision of single or multiple UE capabilities are necessary.</w:t>
      </w:r>
    </w:p>
    <w:p>
      <w:pPr>
        <w:pStyle w:val="8"/>
        <w:tabs>
          <w:tab w:val="left" w:pos="226"/>
          <w:tab w:val="left" w:pos="284"/>
          <w:tab w:val="left" w:pos="5103"/>
        </w:tabs>
        <w:snapToGrid w:val="0"/>
        <w:rPr>
          <w:rFonts w:eastAsia="宋体"/>
          <w:bCs/>
          <w:color w:val="auto"/>
          <w:sz w:val="20"/>
          <w:szCs w:val="20"/>
          <w:lang w:val="en-GB" w:eastAsia="zh-CN"/>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Chars="0"/>
        <w:rPr>
          <w:rFonts w:hint="eastAsia"/>
          <w:color w:val="auto"/>
          <w:highlight w:val="none"/>
          <w:lang w:val="en-US" w:eastAsia="zh-CN"/>
        </w:rPr>
      </w:pPr>
      <w:r>
        <w:rPr>
          <w:rFonts w:hint="eastAsia"/>
          <w:lang w:val="en-US" w:eastAsia="zh-CN"/>
        </w:rPr>
        <w:t>RP-231452</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7"/>
        </w:numPr>
        <w:ind w:leftChars="0"/>
        <w:rPr>
          <w:rFonts w:hint="eastAsia"/>
          <w:color w:val="auto"/>
          <w:highlight w:val="none"/>
          <w:lang w:val="en-US" w:eastAsia="zh-CN"/>
        </w:rPr>
      </w:pPr>
      <w:r>
        <w:rPr>
          <w:rFonts w:hint="eastAsia"/>
          <w:color w:val="auto"/>
          <w:highlight w:val="none"/>
          <w:lang w:val="en-US" w:eastAsia="zh-CN"/>
        </w:rPr>
        <w:t xml:space="preserve">R4-2310046 </w:t>
      </w:r>
      <w:r>
        <w:rPr>
          <w:rFonts w:hint="default"/>
          <w:color w:val="auto"/>
          <w:highlight w:val="none"/>
          <w:lang w:val="en-US" w:eastAsia="zh-CN"/>
        </w:rPr>
        <w:t>“</w:t>
      </w:r>
      <w:r>
        <w:rPr>
          <w:rFonts w:hint="eastAsia"/>
          <w:color w:val="auto"/>
          <w:highlight w:val="none"/>
          <w:lang w:val="en-US" w:eastAsia="zh-CN"/>
        </w:rPr>
        <w:t>WF on NR FR2 multi-Rx chain DL reception RRM requirements (part 1)</w:t>
      </w:r>
      <w:r>
        <w:rPr>
          <w:rFonts w:hint="default"/>
          <w:color w:val="auto"/>
          <w:highlight w:val="none"/>
          <w:lang w:val="en-US" w:eastAsia="zh-CN"/>
        </w:rPr>
        <w:t>”</w:t>
      </w:r>
      <w:r>
        <w:rPr>
          <w:rFonts w:hint="eastAsia"/>
          <w:color w:val="auto"/>
          <w:highlight w:val="none"/>
          <w:lang w:val="en-US" w:eastAsia="zh-CN"/>
        </w:rPr>
        <w:t>, vivo.</w:t>
      </w:r>
    </w:p>
    <w:p>
      <w:pPr>
        <w:pStyle w:val="9"/>
        <w:numPr>
          <w:ilvl w:val="0"/>
          <w:numId w:val="7"/>
        </w:numPr>
        <w:ind w:leftChars="0"/>
        <w:rPr>
          <w:rFonts w:hint="eastAsia"/>
          <w:color w:val="auto"/>
          <w:lang w:val="en-US" w:eastAsia="zh-CN"/>
        </w:rPr>
      </w:pPr>
      <w:r>
        <w:rPr>
          <w:rFonts w:hint="eastAsia"/>
          <w:color w:val="auto"/>
          <w:highlight w:val="none"/>
          <w:lang w:val="en-US" w:eastAsia="zh-CN"/>
        </w:rPr>
        <w:t>TS38.306-h20</w:t>
      </w: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DF87BA"/>
    <w:multiLevelType w:val="singleLevel"/>
    <w:tmpl w:val="9DDF87BA"/>
    <w:lvl w:ilvl="0" w:tentative="0">
      <w:start w:val="1"/>
      <w:numFmt w:val="bullet"/>
      <w:lvlText w:val=""/>
      <w:lvlJc w:val="left"/>
      <w:pPr>
        <w:ind w:left="420" w:hanging="420"/>
      </w:pPr>
      <w:rPr>
        <w:rFonts w:hint="default" w:ascii="Wingdings" w:hAnsi="Wingdings"/>
      </w:rPr>
    </w:lvl>
  </w:abstractNum>
  <w:abstractNum w:abstractNumId="1">
    <w:nsid w:val="A8E5EB3A"/>
    <w:multiLevelType w:val="singleLevel"/>
    <w:tmpl w:val="A8E5EB3A"/>
    <w:lvl w:ilvl="0" w:tentative="0">
      <w:start w:val="1"/>
      <w:numFmt w:val="decimal"/>
      <w:suff w:val="space"/>
      <w:lvlText w:val="[%1]"/>
      <w:lvlJc w:val="left"/>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8"/>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5"/>
  </w:num>
  <w:num w:numId="4">
    <w:abstractNumId w:val="2"/>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37CE"/>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2122247"/>
    <w:rsid w:val="02150C3F"/>
    <w:rsid w:val="022C3A09"/>
    <w:rsid w:val="028B6A1D"/>
    <w:rsid w:val="028F1C3E"/>
    <w:rsid w:val="037D0CB3"/>
    <w:rsid w:val="03D4720A"/>
    <w:rsid w:val="03E04DEA"/>
    <w:rsid w:val="04151694"/>
    <w:rsid w:val="04654053"/>
    <w:rsid w:val="04793516"/>
    <w:rsid w:val="047A3CFF"/>
    <w:rsid w:val="04885243"/>
    <w:rsid w:val="05317828"/>
    <w:rsid w:val="05477E90"/>
    <w:rsid w:val="05BB5AB9"/>
    <w:rsid w:val="05C42923"/>
    <w:rsid w:val="05F562DB"/>
    <w:rsid w:val="06963BA6"/>
    <w:rsid w:val="06965F3C"/>
    <w:rsid w:val="07CD3CDD"/>
    <w:rsid w:val="084B363C"/>
    <w:rsid w:val="0855671D"/>
    <w:rsid w:val="089009EB"/>
    <w:rsid w:val="09716BCA"/>
    <w:rsid w:val="098C1CEA"/>
    <w:rsid w:val="09D64B23"/>
    <w:rsid w:val="09E644B8"/>
    <w:rsid w:val="0A383F61"/>
    <w:rsid w:val="0B12013A"/>
    <w:rsid w:val="0B1C5C6A"/>
    <w:rsid w:val="0B243EFB"/>
    <w:rsid w:val="0B3D3C2F"/>
    <w:rsid w:val="0B5D15B4"/>
    <w:rsid w:val="0B6204CF"/>
    <w:rsid w:val="0BAC06FA"/>
    <w:rsid w:val="0BB0429A"/>
    <w:rsid w:val="0BFF5FC6"/>
    <w:rsid w:val="0C276675"/>
    <w:rsid w:val="0C394019"/>
    <w:rsid w:val="0EC91588"/>
    <w:rsid w:val="0F6C0B73"/>
    <w:rsid w:val="0F8009F9"/>
    <w:rsid w:val="10997F43"/>
    <w:rsid w:val="10DE7BAE"/>
    <w:rsid w:val="11023BFD"/>
    <w:rsid w:val="110404BB"/>
    <w:rsid w:val="111C20F6"/>
    <w:rsid w:val="11DD2CBB"/>
    <w:rsid w:val="11ED345F"/>
    <w:rsid w:val="120774A3"/>
    <w:rsid w:val="12580C13"/>
    <w:rsid w:val="130B3696"/>
    <w:rsid w:val="14006D19"/>
    <w:rsid w:val="1414436B"/>
    <w:rsid w:val="1481754F"/>
    <w:rsid w:val="148F5721"/>
    <w:rsid w:val="14AC57CD"/>
    <w:rsid w:val="14B9644E"/>
    <w:rsid w:val="15ED3E9B"/>
    <w:rsid w:val="164514BE"/>
    <w:rsid w:val="16E8141E"/>
    <w:rsid w:val="170F06AA"/>
    <w:rsid w:val="17225508"/>
    <w:rsid w:val="17B52E39"/>
    <w:rsid w:val="180A6E32"/>
    <w:rsid w:val="183F2CD2"/>
    <w:rsid w:val="1856323E"/>
    <w:rsid w:val="188D6BB6"/>
    <w:rsid w:val="18AF55E3"/>
    <w:rsid w:val="18B1519A"/>
    <w:rsid w:val="18CD0507"/>
    <w:rsid w:val="195D7D48"/>
    <w:rsid w:val="19852D03"/>
    <w:rsid w:val="1A6F1A83"/>
    <w:rsid w:val="1AD01A1B"/>
    <w:rsid w:val="1B4C5221"/>
    <w:rsid w:val="1B61065A"/>
    <w:rsid w:val="1B940E5A"/>
    <w:rsid w:val="1BBF3927"/>
    <w:rsid w:val="1C177B08"/>
    <w:rsid w:val="1C9001C6"/>
    <w:rsid w:val="1CBA2101"/>
    <w:rsid w:val="1D0573D7"/>
    <w:rsid w:val="1D153DC4"/>
    <w:rsid w:val="1D223E0B"/>
    <w:rsid w:val="1D3A54CD"/>
    <w:rsid w:val="1DF33EB1"/>
    <w:rsid w:val="1E132F88"/>
    <w:rsid w:val="1E2867E9"/>
    <w:rsid w:val="1E853F6F"/>
    <w:rsid w:val="1E9C7BCC"/>
    <w:rsid w:val="1ECC1E3C"/>
    <w:rsid w:val="1F5B4632"/>
    <w:rsid w:val="1FFD4083"/>
    <w:rsid w:val="20013E13"/>
    <w:rsid w:val="20122D1B"/>
    <w:rsid w:val="202F3D4C"/>
    <w:rsid w:val="206F1E13"/>
    <w:rsid w:val="20E2786E"/>
    <w:rsid w:val="21014C39"/>
    <w:rsid w:val="21045DF0"/>
    <w:rsid w:val="21244EB1"/>
    <w:rsid w:val="213964D8"/>
    <w:rsid w:val="21595D04"/>
    <w:rsid w:val="21835807"/>
    <w:rsid w:val="21F13629"/>
    <w:rsid w:val="22AF59B6"/>
    <w:rsid w:val="2305377E"/>
    <w:rsid w:val="231A76D5"/>
    <w:rsid w:val="23BE460D"/>
    <w:rsid w:val="24122135"/>
    <w:rsid w:val="24D4257E"/>
    <w:rsid w:val="24F5519F"/>
    <w:rsid w:val="25362D8A"/>
    <w:rsid w:val="2572202B"/>
    <w:rsid w:val="25AE612B"/>
    <w:rsid w:val="2605683C"/>
    <w:rsid w:val="26661176"/>
    <w:rsid w:val="26672AC5"/>
    <w:rsid w:val="26BB1419"/>
    <w:rsid w:val="27315D1D"/>
    <w:rsid w:val="27B748AA"/>
    <w:rsid w:val="27CB4CB9"/>
    <w:rsid w:val="27CC4452"/>
    <w:rsid w:val="281C2F58"/>
    <w:rsid w:val="28CD5B2D"/>
    <w:rsid w:val="292D5BF2"/>
    <w:rsid w:val="292F6239"/>
    <w:rsid w:val="29642C4B"/>
    <w:rsid w:val="29A66B9A"/>
    <w:rsid w:val="2A34628C"/>
    <w:rsid w:val="2A724D05"/>
    <w:rsid w:val="2A7E505C"/>
    <w:rsid w:val="2AC85686"/>
    <w:rsid w:val="2AD04B5F"/>
    <w:rsid w:val="2B39549B"/>
    <w:rsid w:val="2BC05B2C"/>
    <w:rsid w:val="2BD617C5"/>
    <w:rsid w:val="2C112837"/>
    <w:rsid w:val="2C360608"/>
    <w:rsid w:val="2E014790"/>
    <w:rsid w:val="2EAE66A3"/>
    <w:rsid w:val="2EE77680"/>
    <w:rsid w:val="2F2F0FC8"/>
    <w:rsid w:val="2F591020"/>
    <w:rsid w:val="2F8E63A4"/>
    <w:rsid w:val="301C6BB6"/>
    <w:rsid w:val="30723652"/>
    <w:rsid w:val="30766FB2"/>
    <w:rsid w:val="312654EA"/>
    <w:rsid w:val="31565660"/>
    <w:rsid w:val="319708F2"/>
    <w:rsid w:val="31B14C9E"/>
    <w:rsid w:val="31FE2981"/>
    <w:rsid w:val="32545CB6"/>
    <w:rsid w:val="33C522D7"/>
    <w:rsid w:val="33D97FA6"/>
    <w:rsid w:val="33F228A5"/>
    <w:rsid w:val="347C19A0"/>
    <w:rsid w:val="34807672"/>
    <w:rsid w:val="351B1E30"/>
    <w:rsid w:val="351D459F"/>
    <w:rsid w:val="358E5935"/>
    <w:rsid w:val="35B06C6A"/>
    <w:rsid w:val="36941AA2"/>
    <w:rsid w:val="36B46C09"/>
    <w:rsid w:val="36D37423"/>
    <w:rsid w:val="379D23F9"/>
    <w:rsid w:val="37E74183"/>
    <w:rsid w:val="38230E9D"/>
    <w:rsid w:val="3A185287"/>
    <w:rsid w:val="3A1F46B8"/>
    <w:rsid w:val="3A692CD0"/>
    <w:rsid w:val="3B270929"/>
    <w:rsid w:val="3B3D5571"/>
    <w:rsid w:val="3B5D276F"/>
    <w:rsid w:val="3B673620"/>
    <w:rsid w:val="3B9A1F29"/>
    <w:rsid w:val="3CA83595"/>
    <w:rsid w:val="3CE4646B"/>
    <w:rsid w:val="3D5E7AA8"/>
    <w:rsid w:val="3D6F2596"/>
    <w:rsid w:val="3F5E503E"/>
    <w:rsid w:val="405F175E"/>
    <w:rsid w:val="40737877"/>
    <w:rsid w:val="40A811A8"/>
    <w:rsid w:val="40C765F3"/>
    <w:rsid w:val="41B8634B"/>
    <w:rsid w:val="41C755BE"/>
    <w:rsid w:val="42424160"/>
    <w:rsid w:val="427919DF"/>
    <w:rsid w:val="42A01CD1"/>
    <w:rsid w:val="42B16B47"/>
    <w:rsid w:val="42F869D2"/>
    <w:rsid w:val="433D4368"/>
    <w:rsid w:val="43553536"/>
    <w:rsid w:val="438A79C8"/>
    <w:rsid w:val="44972678"/>
    <w:rsid w:val="44C465F8"/>
    <w:rsid w:val="451632B9"/>
    <w:rsid w:val="45906394"/>
    <w:rsid w:val="45D40A2F"/>
    <w:rsid w:val="45F60A50"/>
    <w:rsid w:val="46142D0C"/>
    <w:rsid w:val="46151904"/>
    <w:rsid w:val="463A5AC1"/>
    <w:rsid w:val="46970A81"/>
    <w:rsid w:val="46B036BF"/>
    <w:rsid w:val="46EE1939"/>
    <w:rsid w:val="47282363"/>
    <w:rsid w:val="476B3528"/>
    <w:rsid w:val="47C726B0"/>
    <w:rsid w:val="47EC7B96"/>
    <w:rsid w:val="485C7C16"/>
    <w:rsid w:val="489C691C"/>
    <w:rsid w:val="49DC4EAC"/>
    <w:rsid w:val="49E55BC5"/>
    <w:rsid w:val="4B9C7CDF"/>
    <w:rsid w:val="4C1C63D6"/>
    <w:rsid w:val="4C864A35"/>
    <w:rsid w:val="4E015C76"/>
    <w:rsid w:val="4E1A3FA5"/>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6E37BE"/>
    <w:rsid w:val="5372021A"/>
    <w:rsid w:val="53A3105E"/>
    <w:rsid w:val="53C64B93"/>
    <w:rsid w:val="548A6C60"/>
    <w:rsid w:val="54E07F19"/>
    <w:rsid w:val="551F20A6"/>
    <w:rsid w:val="55B1164D"/>
    <w:rsid w:val="55B4735E"/>
    <w:rsid w:val="55BB221D"/>
    <w:rsid w:val="56371459"/>
    <w:rsid w:val="56484633"/>
    <w:rsid w:val="569D39ED"/>
    <w:rsid w:val="574B3EB2"/>
    <w:rsid w:val="58D0053D"/>
    <w:rsid w:val="58F67DF5"/>
    <w:rsid w:val="59064002"/>
    <w:rsid w:val="59745E07"/>
    <w:rsid w:val="598C40A0"/>
    <w:rsid w:val="59930B2E"/>
    <w:rsid w:val="59DA647E"/>
    <w:rsid w:val="5A556E1A"/>
    <w:rsid w:val="5C1166E3"/>
    <w:rsid w:val="5E2864D0"/>
    <w:rsid w:val="5E494511"/>
    <w:rsid w:val="5EB44FC0"/>
    <w:rsid w:val="5EB81F13"/>
    <w:rsid w:val="5EDA64BC"/>
    <w:rsid w:val="5F6666BE"/>
    <w:rsid w:val="5FBA395F"/>
    <w:rsid w:val="60B92183"/>
    <w:rsid w:val="60EC2CBA"/>
    <w:rsid w:val="61661B78"/>
    <w:rsid w:val="618636C8"/>
    <w:rsid w:val="61CC2D28"/>
    <w:rsid w:val="62DE3B93"/>
    <w:rsid w:val="630C63B9"/>
    <w:rsid w:val="63454F29"/>
    <w:rsid w:val="635902CD"/>
    <w:rsid w:val="642A3E76"/>
    <w:rsid w:val="645E1DDB"/>
    <w:rsid w:val="64706BBE"/>
    <w:rsid w:val="64F2095B"/>
    <w:rsid w:val="65267327"/>
    <w:rsid w:val="65D63F94"/>
    <w:rsid w:val="66036AF7"/>
    <w:rsid w:val="66850BFA"/>
    <w:rsid w:val="67A858DB"/>
    <w:rsid w:val="67FE4166"/>
    <w:rsid w:val="68AD2162"/>
    <w:rsid w:val="68C401C3"/>
    <w:rsid w:val="69045D7F"/>
    <w:rsid w:val="693027BF"/>
    <w:rsid w:val="6968769B"/>
    <w:rsid w:val="696C5A1D"/>
    <w:rsid w:val="69831B57"/>
    <w:rsid w:val="698E7A9D"/>
    <w:rsid w:val="69A833BD"/>
    <w:rsid w:val="69FB3F8F"/>
    <w:rsid w:val="6A5D78D5"/>
    <w:rsid w:val="6A85354A"/>
    <w:rsid w:val="6B891BF1"/>
    <w:rsid w:val="6C8E0C06"/>
    <w:rsid w:val="6CD1716B"/>
    <w:rsid w:val="6D566F0F"/>
    <w:rsid w:val="6D7A1775"/>
    <w:rsid w:val="6D836F72"/>
    <w:rsid w:val="6DC2026F"/>
    <w:rsid w:val="6DDE3DAF"/>
    <w:rsid w:val="6E281030"/>
    <w:rsid w:val="6E2C7D5B"/>
    <w:rsid w:val="6E3241BE"/>
    <w:rsid w:val="6EB97A9D"/>
    <w:rsid w:val="6EC82818"/>
    <w:rsid w:val="6EF10A90"/>
    <w:rsid w:val="6F9621E0"/>
    <w:rsid w:val="6FC2089A"/>
    <w:rsid w:val="6FD45BF8"/>
    <w:rsid w:val="6FFF1868"/>
    <w:rsid w:val="70332195"/>
    <w:rsid w:val="712150A0"/>
    <w:rsid w:val="71507435"/>
    <w:rsid w:val="715F4C2D"/>
    <w:rsid w:val="721C3FA1"/>
    <w:rsid w:val="722F78FB"/>
    <w:rsid w:val="723D67C5"/>
    <w:rsid w:val="7244013B"/>
    <w:rsid w:val="7250627B"/>
    <w:rsid w:val="72BF60CA"/>
    <w:rsid w:val="72F41282"/>
    <w:rsid w:val="733D0D32"/>
    <w:rsid w:val="73D411F1"/>
    <w:rsid w:val="74165422"/>
    <w:rsid w:val="753811DE"/>
    <w:rsid w:val="75647498"/>
    <w:rsid w:val="7566040A"/>
    <w:rsid w:val="757733D9"/>
    <w:rsid w:val="75A7114C"/>
    <w:rsid w:val="75BE67D4"/>
    <w:rsid w:val="75C2004C"/>
    <w:rsid w:val="75C759C1"/>
    <w:rsid w:val="760F5DAE"/>
    <w:rsid w:val="762D64F3"/>
    <w:rsid w:val="766B6FB4"/>
    <w:rsid w:val="767E7EFF"/>
    <w:rsid w:val="76A9299C"/>
    <w:rsid w:val="775B4604"/>
    <w:rsid w:val="77C067C3"/>
    <w:rsid w:val="77EA64D7"/>
    <w:rsid w:val="78911E31"/>
    <w:rsid w:val="7922350F"/>
    <w:rsid w:val="792B5470"/>
    <w:rsid w:val="79B2715A"/>
    <w:rsid w:val="79C637D8"/>
    <w:rsid w:val="7A9367CB"/>
    <w:rsid w:val="7AA10DE7"/>
    <w:rsid w:val="7AF22571"/>
    <w:rsid w:val="7B69224B"/>
    <w:rsid w:val="7BE80F25"/>
    <w:rsid w:val="7C1C35A7"/>
    <w:rsid w:val="7C45431D"/>
    <w:rsid w:val="7D243E1C"/>
    <w:rsid w:val="7D3219D5"/>
    <w:rsid w:val="7D734AA7"/>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2023-08-11T13:19:48Z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